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8C184" w14:textId="50F6A2F4" w:rsidR="00FF76B3" w:rsidRPr="00886543" w:rsidRDefault="00886543" w:rsidP="00E54AA0">
      <w:pPr>
        <w:pStyle w:val="Title"/>
        <w:ind w:left="720" w:firstLine="720"/>
        <w:jc w:val="center"/>
        <w:rPr>
          <w:rFonts w:ascii="Calibri" w:hAnsi="Calibri" w:cs="Calibri"/>
          <w:b/>
          <w:color w:val="4D868E"/>
          <w:sz w:val="40"/>
          <w:szCs w:val="40"/>
          <w:lang w:val="en-CA" w:eastAsia="en-US"/>
        </w:rPr>
      </w:pPr>
      <w:r>
        <w:rPr>
          <w:rFonts w:ascii="Calibri" w:hAnsi="Calibri" w:cs="Calibri"/>
          <w:b/>
          <w:noProof/>
          <w:color w:val="4D868E"/>
          <w:sz w:val="40"/>
          <w:szCs w:val="40"/>
          <w:lang w:val="en-CA" w:eastAsia="en-US"/>
        </w:rPr>
        <w:drawing>
          <wp:anchor distT="0" distB="0" distL="114300" distR="114300" simplePos="0" relativeHeight="251658240" behindDoc="0" locked="0" layoutInCell="1" allowOverlap="1" wp14:anchorId="7654A960" wp14:editId="28AC6CD8">
            <wp:simplePos x="0" y="0"/>
            <wp:positionH relativeFrom="column">
              <wp:posOffset>314325</wp:posOffset>
            </wp:positionH>
            <wp:positionV relativeFrom="paragraph">
              <wp:posOffset>4445</wp:posOffset>
            </wp:positionV>
            <wp:extent cx="1104900" cy="1106170"/>
            <wp:effectExtent l="0" t="0" r="0" b="0"/>
            <wp:wrapNone/>
            <wp:docPr id="49577194" name="Picture 1" descr="The image depicts the town seal of Gibbons, featuring a stylized fish logo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77194" name="Picture 1" descr="The image depicts the town seal of Gibbons, featuring a stylized fish logo.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4AB" w:rsidRPr="00886543">
        <w:rPr>
          <w:rFonts w:ascii="Calibri" w:hAnsi="Calibri" w:cs="Calibri"/>
          <w:b/>
          <w:color w:val="4D868E"/>
          <w:sz w:val="40"/>
          <w:szCs w:val="40"/>
          <w:lang w:val="en-CA" w:eastAsia="en-US"/>
        </w:rPr>
        <w:t xml:space="preserve">Geohazard Area DPA </w:t>
      </w:r>
      <w:r w:rsidR="64DC1014" w:rsidRPr="00886543">
        <w:rPr>
          <w:rFonts w:ascii="Calibri" w:hAnsi="Calibri" w:cs="Calibri"/>
          <w:b/>
          <w:color w:val="4D868E"/>
          <w:sz w:val="40"/>
          <w:szCs w:val="40"/>
          <w:lang w:val="en-CA" w:eastAsia="en-US"/>
        </w:rPr>
        <w:t>Guidelines</w:t>
      </w:r>
    </w:p>
    <w:p w14:paraId="2C078E63" w14:textId="20D6526B" w:rsidR="00806E31" w:rsidRDefault="00FF76B3" w:rsidP="00E54AA0">
      <w:pPr>
        <w:pStyle w:val="Title"/>
        <w:ind w:left="720" w:firstLine="720"/>
        <w:jc w:val="center"/>
        <w:rPr>
          <w:rFonts w:ascii="Calibri" w:hAnsi="Calibri" w:cs="Calibri"/>
          <w:i/>
          <w:iCs/>
          <w:sz w:val="24"/>
          <w:szCs w:val="24"/>
        </w:rPr>
      </w:pPr>
      <w:r w:rsidRPr="00886543">
        <w:rPr>
          <w:rFonts w:ascii="Calibri" w:hAnsi="Calibri" w:cs="Calibri"/>
          <w:i/>
          <w:iCs/>
          <w:sz w:val="24"/>
          <w:szCs w:val="24"/>
        </w:rPr>
        <w:t>Checklist to be completed and signed by Qualified Geotechnical Engineer</w:t>
      </w:r>
    </w:p>
    <w:p w14:paraId="5549555C" w14:textId="77777777" w:rsidR="00C215CD" w:rsidRDefault="00C215CD" w:rsidP="00C215CD"/>
    <w:p w14:paraId="49B5419D" w14:textId="77777777" w:rsidR="00C215CD" w:rsidRDefault="00C215CD" w:rsidP="00C215CD"/>
    <w:p w14:paraId="20B5F3F7" w14:textId="00D2A479" w:rsidR="002D5D6A" w:rsidRPr="002D5D6A" w:rsidRDefault="002D5D6A" w:rsidP="00C215CD">
      <w:pPr>
        <w:rPr>
          <w:rFonts w:ascii="Calibri" w:eastAsiaTheme="majorEastAsia" w:hAnsi="Calibri" w:cs="Calibri"/>
          <w:color w:val="0F4761" w:themeColor="accent1" w:themeShade="BF"/>
          <w:sz w:val="32"/>
          <w:szCs w:val="32"/>
        </w:rPr>
      </w:pPr>
      <w:r w:rsidRPr="002D5D6A">
        <w:rPr>
          <w:rFonts w:ascii="Calibri" w:eastAsiaTheme="majorEastAsia" w:hAnsi="Calibri" w:cs="Calibri"/>
          <w:color w:val="0F4761" w:themeColor="accent1" w:themeShade="BF"/>
          <w:sz w:val="32"/>
          <w:szCs w:val="32"/>
        </w:rPr>
        <w:t>Report Guidelines</w:t>
      </w:r>
    </w:p>
    <w:tbl>
      <w:tblPr>
        <w:tblStyle w:val="TableGrid"/>
        <w:tblW w:w="0" w:type="auto"/>
        <w:tblInd w:w="715" w:type="dxa"/>
        <w:tblLook w:val="06A0" w:firstRow="1" w:lastRow="0" w:firstColumn="1" w:lastColumn="0" w:noHBand="1" w:noVBand="1"/>
      </w:tblPr>
      <w:tblGrid>
        <w:gridCol w:w="5400"/>
        <w:gridCol w:w="3950"/>
      </w:tblGrid>
      <w:tr w:rsidR="54395CDF" w:rsidRPr="00EF47A0" w14:paraId="041A476D" w14:textId="77777777" w:rsidTr="00A75666">
        <w:trPr>
          <w:trHeight w:val="300"/>
        </w:trPr>
        <w:tc>
          <w:tcPr>
            <w:tcW w:w="5400" w:type="dxa"/>
            <w:shd w:val="clear" w:color="auto" w:fill="D9D9D9" w:themeFill="background1" w:themeFillShade="D9"/>
          </w:tcPr>
          <w:p w14:paraId="58308EFC" w14:textId="2A8E0166" w:rsidR="30835EBA" w:rsidRPr="00EF47A0" w:rsidRDefault="30835EBA" w:rsidP="54395CDF">
            <w:pPr>
              <w:rPr>
                <w:rFonts w:ascii="Calibri" w:hAnsi="Calibri" w:cs="Calibri"/>
                <w:b/>
                <w:bCs/>
              </w:rPr>
            </w:pPr>
            <w:r w:rsidRPr="00EF47A0">
              <w:rPr>
                <w:rFonts w:ascii="Calibri" w:hAnsi="Calibri" w:cs="Calibri"/>
                <w:b/>
                <w:bCs/>
              </w:rPr>
              <w:t>Report Requirements</w:t>
            </w:r>
          </w:p>
        </w:tc>
        <w:tc>
          <w:tcPr>
            <w:tcW w:w="3950" w:type="dxa"/>
            <w:shd w:val="clear" w:color="auto" w:fill="D9D9D9" w:themeFill="background1" w:themeFillShade="D9"/>
          </w:tcPr>
          <w:p w14:paraId="0974B9DA" w14:textId="6E05C306" w:rsidR="30835EBA" w:rsidRPr="00EF47A0" w:rsidRDefault="30835EBA" w:rsidP="54395CDF">
            <w:pPr>
              <w:rPr>
                <w:rFonts w:ascii="Calibri" w:hAnsi="Calibri" w:cs="Calibri"/>
                <w:b/>
                <w:bCs/>
              </w:rPr>
            </w:pPr>
            <w:r w:rsidRPr="00EF47A0">
              <w:rPr>
                <w:rFonts w:ascii="Calibri" w:hAnsi="Calibri" w:cs="Calibri"/>
                <w:b/>
                <w:bCs/>
              </w:rPr>
              <w:t>Met?</w:t>
            </w:r>
          </w:p>
        </w:tc>
      </w:tr>
      <w:tr w:rsidR="54395CDF" w:rsidRPr="00EF47A0" w14:paraId="2B427004" w14:textId="77777777" w:rsidTr="00243A55">
        <w:trPr>
          <w:trHeight w:val="300"/>
        </w:trPr>
        <w:tc>
          <w:tcPr>
            <w:tcW w:w="5400" w:type="dxa"/>
          </w:tcPr>
          <w:p w14:paraId="570FAD31" w14:textId="1270A19D" w:rsidR="06390A21" w:rsidRPr="00EF47A0" w:rsidRDefault="06390A21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Describe the topography and geomorphology of the site</w:t>
            </w:r>
          </w:p>
        </w:tc>
        <w:tc>
          <w:tcPr>
            <w:tcW w:w="3950" w:type="dxa"/>
          </w:tcPr>
          <w:p w14:paraId="568A04BD" w14:textId="1073EF0E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0E990B44" w14:textId="77777777" w:rsidTr="00243A55">
        <w:trPr>
          <w:trHeight w:val="300"/>
        </w:trPr>
        <w:tc>
          <w:tcPr>
            <w:tcW w:w="5400" w:type="dxa"/>
          </w:tcPr>
          <w:p w14:paraId="31D83761" w14:textId="653DB29D" w:rsidR="0E431C3A" w:rsidRPr="00EF47A0" w:rsidRDefault="0E431C3A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Identify potential natural hazards</w:t>
            </w:r>
          </w:p>
        </w:tc>
        <w:tc>
          <w:tcPr>
            <w:tcW w:w="3950" w:type="dxa"/>
          </w:tcPr>
          <w:p w14:paraId="211A238D" w14:textId="32939FAC" w:rsidR="00243A55" w:rsidRPr="00EF47A0" w:rsidRDefault="00243A55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27C358C9" w14:textId="77777777" w:rsidTr="00243A55">
        <w:trPr>
          <w:trHeight w:val="300"/>
        </w:trPr>
        <w:tc>
          <w:tcPr>
            <w:tcW w:w="5400" w:type="dxa"/>
          </w:tcPr>
          <w:p w14:paraId="18C228A4" w14:textId="6BE40F83" w:rsidR="0E431C3A" w:rsidRPr="00EF47A0" w:rsidRDefault="0E431C3A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Assess the nature, extent, frequency, and potential effects of identified hazards</w:t>
            </w:r>
          </w:p>
        </w:tc>
        <w:tc>
          <w:tcPr>
            <w:tcW w:w="3950" w:type="dxa"/>
          </w:tcPr>
          <w:p w14:paraId="1B0F3EC7" w14:textId="393CD5CF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04D5794C" w14:textId="77777777" w:rsidTr="00243A55">
        <w:trPr>
          <w:trHeight w:val="300"/>
        </w:trPr>
        <w:tc>
          <w:tcPr>
            <w:tcW w:w="5400" w:type="dxa"/>
          </w:tcPr>
          <w:p w14:paraId="27222A0A" w14:textId="435A653B" w:rsidR="0E431C3A" w:rsidRPr="00EF47A0" w:rsidRDefault="0E431C3A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Include a review of relevant previous geohazard studies or engineering work in the vicinity</w:t>
            </w:r>
          </w:p>
        </w:tc>
        <w:tc>
          <w:tcPr>
            <w:tcW w:w="3950" w:type="dxa"/>
          </w:tcPr>
          <w:p w14:paraId="6A068D95" w14:textId="0AEBB578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7D47865A" w14:textId="77777777" w:rsidTr="00243A55">
        <w:trPr>
          <w:trHeight w:val="300"/>
        </w:trPr>
        <w:tc>
          <w:tcPr>
            <w:tcW w:w="5400" w:type="dxa"/>
          </w:tcPr>
          <w:p w14:paraId="1A4319E3" w14:textId="6AA290C2" w:rsidR="7C8B8F2D" w:rsidRPr="00EF47A0" w:rsidRDefault="7C8B8F2D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Identify safe building sites</w:t>
            </w:r>
          </w:p>
        </w:tc>
        <w:tc>
          <w:tcPr>
            <w:tcW w:w="3950" w:type="dxa"/>
          </w:tcPr>
          <w:p w14:paraId="441D5099" w14:textId="473A2313" w:rsidR="00243A55" w:rsidRPr="00EF47A0" w:rsidRDefault="00243A55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5519A35D" w14:textId="77777777" w:rsidTr="00243A55">
        <w:trPr>
          <w:trHeight w:val="300"/>
        </w:trPr>
        <w:tc>
          <w:tcPr>
            <w:tcW w:w="5400" w:type="dxa"/>
          </w:tcPr>
          <w:p w14:paraId="566F9404" w14:textId="7E7A15F5" w:rsidR="7C8B8F2D" w:rsidRPr="00EF47A0" w:rsidRDefault="7C8B8F2D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Recommend hazard mitigation measures and development protection measures</w:t>
            </w:r>
          </w:p>
        </w:tc>
        <w:tc>
          <w:tcPr>
            <w:tcW w:w="3950" w:type="dxa"/>
          </w:tcPr>
          <w:p w14:paraId="5B1F2702" w14:textId="64B945A4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37FEE21D" w14:textId="77777777" w:rsidTr="00243A55">
        <w:trPr>
          <w:trHeight w:val="300"/>
        </w:trPr>
        <w:tc>
          <w:tcPr>
            <w:tcW w:w="5400" w:type="dxa"/>
          </w:tcPr>
          <w:p w14:paraId="70A53C28" w14:textId="031CE94A" w:rsidR="7C8B8F2D" w:rsidRPr="00EF47A0" w:rsidRDefault="7C8B8F2D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Recommend the conditions and requirements of the development permit</w:t>
            </w:r>
          </w:p>
        </w:tc>
        <w:tc>
          <w:tcPr>
            <w:tcW w:w="3950" w:type="dxa"/>
          </w:tcPr>
          <w:p w14:paraId="4CEF5C7A" w14:textId="7DDEC8EF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6AD9D388" w14:textId="77777777" w:rsidTr="00243A55">
        <w:trPr>
          <w:trHeight w:val="300"/>
        </w:trPr>
        <w:tc>
          <w:tcPr>
            <w:tcW w:w="5400" w:type="dxa"/>
          </w:tcPr>
          <w:p w14:paraId="36A10A1F" w14:textId="268C5B31" w:rsidR="7C8B8F2D" w:rsidRPr="00EF47A0" w:rsidRDefault="7C8B8F2D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Consider Provincial requirements for flood and landslide assessment</w:t>
            </w:r>
          </w:p>
        </w:tc>
        <w:tc>
          <w:tcPr>
            <w:tcW w:w="3950" w:type="dxa"/>
          </w:tcPr>
          <w:p w14:paraId="609667F1" w14:textId="379BFDDD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753B6ADB" w14:textId="77777777" w:rsidTr="00243A55">
        <w:trPr>
          <w:trHeight w:val="300"/>
        </w:trPr>
        <w:tc>
          <w:tcPr>
            <w:tcW w:w="5400" w:type="dxa"/>
          </w:tcPr>
          <w:p w14:paraId="76A90E00" w14:textId="306566A0" w:rsidR="7C8B8F2D" w:rsidRPr="00EF47A0" w:rsidRDefault="7C8B8F2D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Consider the 2010 APEGBC Guidelines for Legislated Landslide Assessments for Proposed Residential Developments, or any subsequent</w:t>
            </w:r>
            <w:r w:rsidR="00135FAE">
              <w:rPr>
                <w:rFonts w:ascii="Calibri" w:eastAsia="Aptos" w:hAnsi="Calibri" w:cs="Calibri"/>
              </w:rPr>
              <w:t xml:space="preserve"> updated</w:t>
            </w:r>
            <w:r w:rsidRPr="00EF47A0">
              <w:rPr>
                <w:rFonts w:ascii="Calibri" w:eastAsia="Aptos" w:hAnsi="Calibri" w:cs="Calibri"/>
              </w:rPr>
              <w:t xml:space="preserve"> version</w:t>
            </w:r>
          </w:p>
        </w:tc>
        <w:tc>
          <w:tcPr>
            <w:tcW w:w="3950" w:type="dxa"/>
          </w:tcPr>
          <w:p w14:paraId="3A9AA77A" w14:textId="44008F89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6E03B939" w14:textId="77777777" w:rsidTr="00243A55">
        <w:trPr>
          <w:trHeight w:val="300"/>
        </w:trPr>
        <w:tc>
          <w:tcPr>
            <w:tcW w:w="5400" w:type="dxa"/>
          </w:tcPr>
          <w:p w14:paraId="32593FC0" w14:textId="40D7DE25" w:rsidR="7C8B8F2D" w:rsidRPr="00EF47A0" w:rsidRDefault="7C8B8F2D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Certify that the land may be used safely for the intended use</w:t>
            </w:r>
          </w:p>
        </w:tc>
        <w:tc>
          <w:tcPr>
            <w:tcW w:w="3950" w:type="dxa"/>
          </w:tcPr>
          <w:p w14:paraId="39A38F7D" w14:textId="2499BBB9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00C92C28" w14:textId="77777777" w:rsidTr="00243A55">
        <w:trPr>
          <w:trHeight w:val="300"/>
        </w:trPr>
        <w:tc>
          <w:tcPr>
            <w:tcW w:w="5400" w:type="dxa"/>
          </w:tcPr>
          <w:p w14:paraId="7B4DAF5B" w14:textId="3DCCD97C" w:rsidR="7C8B8F2D" w:rsidRPr="00EF47A0" w:rsidRDefault="7C8B8F2D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Information must be detailed enough to support registration of a Section 219 Covenant as required by the Land Title Act.</w:t>
            </w:r>
          </w:p>
        </w:tc>
        <w:tc>
          <w:tcPr>
            <w:tcW w:w="3950" w:type="dxa"/>
          </w:tcPr>
          <w:p w14:paraId="67AE9018" w14:textId="5C95E382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</w:tbl>
    <w:p w14:paraId="47F2F882" w14:textId="1F8CA06D" w:rsidR="65DCAEE4" w:rsidRPr="00EF47A0" w:rsidRDefault="65DCAEE4" w:rsidP="54395CDF">
      <w:pPr>
        <w:pStyle w:val="Heading2"/>
        <w:rPr>
          <w:rFonts w:ascii="Calibri" w:hAnsi="Calibri" w:cs="Calibri"/>
        </w:rPr>
      </w:pPr>
      <w:r w:rsidRPr="00EF47A0">
        <w:rPr>
          <w:rFonts w:ascii="Calibri" w:hAnsi="Calibri" w:cs="Calibri"/>
        </w:rPr>
        <w:t xml:space="preserve">Slope Hazard </w:t>
      </w:r>
      <w:r w:rsidR="3CE07F16" w:rsidRPr="00EF47A0">
        <w:rPr>
          <w:rFonts w:ascii="Calibri" w:hAnsi="Calibri" w:cs="Calibri"/>
        </w:rPr>
        <w:t>Guidelines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5395"/>
        <w:gridCol w:w="3965"/>
      </w:tblGrid>
      <w:tr w:rsidR="54395CDF" w:rsidRPr="00EF47A0" w14:paraId="1A7DEDE0" w14:textId="77777777" w:rsidTr="00A75666">
        <w:trPr>
          <w:trHeight w:val="300"/>
          <w:jc w:val="center"/>
        </w:trPr>
        <w:tc>
          <w:tcPr>
            <w:tcW w:w="5395" w:type="dxa"/>
            <w:shd w:val="clear" w:color="auto" w:fill="D9D9D9" w:themeFill="background1" w:themeFillShade="D9"/>
          </w:tcPr>
          <w:p w14:paraId="2A91B831" w14:textId="30348F4A" w:rsidR="169A6F24" w:rsidRPr="00EF47A0" w:rsidRDefault="169A6F24" w:rsidP="54395CDF">
            <w:pPr>
              <w:rPr>
                <w:rFonts w:ascii="Calibri" w:hAnsi="Calibri" w:cs="Calibri"/>
                <w:b/>
                <w:bCs/>
              </w:rPr>
            </w:pPr>
            <w:r w:rsidRPr="00EF47A0">
              <w:rPr>
                <w:rFonts w:ascii="Calibri" w:hAnsi="Calibri" w:cs="Calibri"/>
                <w:b/>
                <w:bCs/>
              </w:rPr>
              <w:t>Guidelines – Toe of Slope</w:t>
            </w:r>
          </w:p>
        </w:tc>
        <w:tc>
          <w:tcPr>
            <w:tcW w:w="3965" w:type="dxa"/>
            <w:shd w:val="clear" w:color="auto" w:fill="D9D9D9" w:themeFill="background1" w:themeFillShade="D9"/>
          </w:tcPr>
          <w:p w14:paraId="4C569A01" w14:textId="1F8A9735" w:rsidR="169A6F24" w:rsidRPr="00EF47A0" w:rsidRDefault="169A6F24" w:rsidP="54395CDF">
            <w:pPr>
              <w:rPr>
                <w:rFonts w:ascii="Calibri" w:hAnsi="Calibri" w:cs="Calibri"/>
                <w:b/>
                <w:bCs/>
              </w:rPr>
            </w:pPr>
            <w:r w:rsidRPr="00EF47A0">
              <w:rPr>
                <w:rFonts w:ascii="Calibri" w:hAnsi="Calibri" w:cs="Calibri"/>
                <w:b/>
                <w:bCs/>
              </w:rPr>
              <w:t>Met?</w:t>
            </w:r>
          </w:p>
        </w:tc>
      </w:tr>
      <w:tr w:rsidR="54395CDF" w:rsidRPr="00EF47A0" w14:paraId="04A1AB60" w14:textId="77777777" w:rsidTr="00243A55">
        <w:trPr>
          <w:trHeight w:val="300"/>
          <w:jc w:val="center"/>
        </w:trPr>
        <w:tc>
          <w:tcPr>
            <w:tcW w:w="5395" w:type="dxa"/>
          </w:tcPr>
          <w:p w14:paraId="095FDA76" w14:textId="087F5E8B" w:rsidR="169A6F24" w:rsidRPr="00EF47A0" w:rsidRDefault="169A6F24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Qualified professionals must verify the adequate minimum setback from the toe of slopes, based on slope stability and/or runout modelling</w:t>
            </w:r>
            <w:r w:rsidR="00560B70" w:rsidRPr="00EF47A0">
              <w:rPr>
                <w:rFonts w:ascii="Calibri" w:eastAsia="Aptos" w:hAnsi="Calibri" w:cs="Calibri"/>
              </w:rPr>
              <w:t>.</w:t>
            </w:r>
          </w:p>
        </w:tc>
        <w:tc>
          <w:tcPr>
            <w:tcW w:w="3965" w:type="dxa"/>
          </w:tcPr>
          <w:p w14:paraId="6D1B7A7A" w14:textId="6AF53127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0E4AFB9D" w14:textId="77777777" w:rsidTr="00243A55">
        <w:trPr>
          <w:trHeight w:val="300"/>
          <w:jc w:val="center"/>
        </w:trPr>
        <w:tc>
          <w:tcPr>
            <w:tcW w:w="5395" w:type="dxa"/>
          </w:tcPr>
          <w:p w14:paraId="6292BAA3" w14:textId="2A65B087" w:rsidR="73C07028" w:rsidRPr="00EF47A0" w:rsidRDefault="73C07028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Professional engineers and/or professional geoscientists must verify whether the minimum 15 m setback from the crest of slopes is adequate. Site-specific analysis may identify areas, such as the northeast portion of the Town, where a greater setback is required.</w:t>
            </w:r>
          </w:p>
        </w:tc>
        <w:tc>
          <w:tcPr>
            <w:tcW w:w="3965" w:type="dxa"/>
          </w:tcPr>
          <w:p w14:paraId="017A7B47" w14:textId="6AF53127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000B14A9" w:rsidRPr="00EF47A0" w14:paraId="16F38D6D" w14:textId="77777777" w:rsidTr="00A75666">
        <w:trPr>
          <w:trHeight w:val="300"/>
          <w:jc w:val="center"/>
        </w:trPr>
        <w:tc>
          <w:tcPr>
            <w:tcW w:w="5395" w:type="dxa"/>
            <w:shd w:val="clear" w:color="auto" w:fill="D9D9D9" w:themeFill="background1" w:themeFillShade="D9"/>
          </w:tcPr>
          <w:p w14:paraId="41DF02DA" w14:textId="204763E5" w:rsidR="000B14A9" w:rsidRPr="00EF47A0" w:rsidRDefault="00DF6A12" w:rsidP="000B14A9">
            <w:pPr>
              <w:rPr>
                <w:rFonts w:ascii="Calibri" w:eastAsia="Aptos" w:hAnsi="Calibri" w:cs="Calibri"/>
              </w:rPr>
            </w:pPr>
            <w:r>
              <w:br w:type="page"/>
            </w:r>
            <w:r w:rsidR="000B14A9" w:rsidRPr="00EF47A0">
              <w:rPr>
                <w:rFonts w:ascii="Calibri" w:hAnsi="Calibri" w:cs="Calibri"/>
                <w:b/>
                <w:bCs/>
              </w:rPr>
              <w:t>Guidelines – Crest of Slope</w:t>
            </w:r>
          </w:p>
        </w:tc>
        <w:tc>
          <w:tcPr>
            <w:tcW w:w="3965" w:type="dxa"/>
            <w:shd w:val="clear" w:color="auto" w:fill="D9D9D9" w:themeFill="background1" w:themeFillShade="D9"/>
          </w:tcPr>
          <w:p w14:paraId="237D3F56" w14:textId="7CAB2749" w:rsidR="000B14A9" w:rsidRPr="00EF47A0" w:rsidRDefault="000B14A9" w:rsidP="000B14A9">
            <w:pPr>
              <w:rPr>
                <w:rFonts w:ascii="Calibri" w:hAnsi="Calibri" w:cs="Calibri"/>
              </w:rPr>
            </w:pPr>
            <w:r w:rsidRPr="00EF47A0">
              <w:rPr>
                <w:rFonts w:ascii="Calibri" w:hAnsi="Calibri" w:cs="Calibri"/>
                <w:b/>
                <w:bCs/>
              </w:rPr>
              <w:t>Met?</w:t>
            </w:r>
          </w:p>
        </w:tc>
      </w:tr>
      <w:tr w:rsidR="54395CDF" w:rsidRPr="00EF47A0" w14:paraId="55E09B51" w14:textId="77777777" w:rsidTr="00243A55">
        <w:trPr>
          <w:trHeight w:val="300"/>
          <w:jc w:val="center"/>
        </w:trPr>
        <w:tc>
          <w:tcPr>
            <w:tcW w:w="5395" w:type="dxa"/>
          </w:tcPr>
          <w:p w14:paraId="3BF34420" w14:textId="77777777" w:rsidR="007D0167" w:rsidRPr="00EF47A0" w:rsidRDefault="73C07028" w:rsidP="007D0167">
            <w:p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lastRenderedPageBreak/>
              <w:t>Where a reduced setback of less than 15 m (&lt;15 m) from the crest of the slope is proposed, the qualified professional must provide a defensible justification based on:</w:t>
            </w:r>
          </w:p>
          <w:p w14:paraId="5820A8C0" w14:textId="77777777" w:rsidR="007D0167" w:rsidRPr="00EF47A0" w:rsidRDefault="73C07028" w:rsidP="007D0167">
            <w:pPr>
              <w:pStyle w:val="ListParagraph"/>
              <w:numPr>
                <w:ilvl w:val="0"/>
                <w:numId w:val="2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 xml:space="preserve">Subsurface </w:t>
            </w:r>
            <w:r w:rsidR="007D0167" w:rsidRPr="00EF47A0">
              <w:rPr>
                <w:rFonts w:ascii="Calibri" w:eastAsia="Aptos" w:hAnsi="Calibri" w:cs="Calibri"/>
              </w:rPr>
              <w:t>investigations.</w:t>
            </w:r>
            <w:r w:rsidRPr="00EF47A0">
              <w:rPr>
                <w:rFonts w:ascii="Calibri" w:eastAsia="Aptos" w:hAnsi="Calibri" w:cs="Calibri"/>
              </w:rPr>
              <w:t xml:space="preserve"> </w:t>
            </w:r>
          </w:p>
          <w:p w14:paraId="57A4CC8E" w14:textId="77777777" w:rsidR="007D0167" w:rsidRPr="00EF47A0" w:rsidRDefault="73C07028" w:rsidP="007D0167">
            <w:pPr>
              <w:pStyle w:val="ListParagraph"/>
              <w:numPr>
                <w:ilvl w:val="0"/>
                <w:numId w:val="2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Groundwater monitoring (including piezometers</w:t>
            </w:r>
            <w:r w:rsidR="007D0167" w:rsidRPr="00EF47A0">
              <w:rPr>
                <w:rFonts w:ascii="Calibri" w:eastAsia="Aptos" w:hAnsi="Calibri" w:cs="Calibri"/>
              </w:rPr>
              <w:t>).</w:t>
            </w:r>
            <w:r w:rsidRPr="00EF47A0">
              <w:rPr>
                <w:rFonts w:ascii="Calibri" w:eastAsia="Aptos" w:hAnsi="Calibri" w:cs="Calibri"/>
              </w:rPr>
              <w:t xml:space="preserve"> </w:t>
            </w:r>
          </w:p>
          <w:p w14:paraId="683322CE" w14:textId="77777777" w:rsidR="007D0167" w:rsidRPr="00EF47A0" w:rsidRDefault="73C07028" w:rsidP="007D0167">
            <w:pPr>
              <w:pStyle w:val="ListParagraph"/>
              <w:numPr>
                <w:ilvl w:val="0"/>
                <w:numId w:val="2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 xml:space="preserve">Slope stability </w:t>
            </w:r>
            <w:r w:rsidR="007D0167" w:rsidRPr="00EF47A0">
              <w:rPr>
                <w:rFonts w:ascii="Calibri" w:eastAsia="Aptos" w:hAnsi="Calibri" w:cs="Calibri"/>
              </w:rPr>
              <w:t>modelling</w:t>
            </w:r>
          </w:p>
          <w:p w14:paraId="2BC01D55" w14:textId="0BCA3A81" w:rsidR="73C07028" w:rsidRPr="00EF47A0" w:rsidRDefault="73C07028" w:rsidP="007D0167">
            <w:pPr>
              <w:pStyle w:val="ListParagraph"/>
              <w:numPr>
                <w:ilvl w:val="0"/>
                <w:numId w:val="2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Site-specific geometry and soil/groundwater conditions</w:t>
            </w:r>
          </w:p>
        </w:tc>
        <w:tc>
          <w:tcPr>
            <w:tcW w:w="3965" w:type="dxa"/>
          </w:tcPr>
          <w:p w14:paraId="530EB333" w14:textId="721D42E5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3D4AE02C" w14:textId="77777777" w:rsidTr="00243A55">
        <w:trPr>
          <w:trHeight w:val="300"/>
          <w:jc w:val="center"/>
        </w:trPr>
        <w:tc>
          <w:tcPr>
            <w:tcW w:w="5395" w:type="dxa"/>
          </w:tcPr>
          <w:p w14:paraId="10E8EDED" w14:textId="77777777" w:rsidR="00772ED6" w:rsidRPr="00EF47A0" w:rsidRDefault="73C07028" w:rsidP="54395CDF">
            <w:p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The following professional guidelines must be adhered to:</w:t>
            </w:r>
          </w:p>
          <w:p w14:paraId="2C993B1C" w14:textId="77777777" w:rsidR="00772ED6" w:rsidRPr="00EF47A0" w:rsidRDefault="73C07028" w:rsidP="00772ED6">
            <w:pPr>
              <w:pStyle w:val="ListParagraph"/>
              <w:numPr>
                <w:ilvl w:val="0"/>
                <w:numId w:val="3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EGBC Professional Practice Guideline: Geotechnical Engineering Services for Building Projects, including application of the Canadian Foundation Engineering Manual (CFEM) or provision of rationale where deviation occurs.</w:t>
            </w:r>
          </w:p>
          <w:p w14:paraId="6B3B9049" w14:textId="30D31354" w:rsidR="73C07028" w:rsidRPr="00EF47A0" w:rsidRDefault="73C07028" w:rsidP="00772ED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EGBC Professional Practice Guideline: Landslide Assessments in British Columbia.</w:t>
            </w:r>
          </w:p>
        </w:tc>
        <w:tc>
          <w:tcPr>
            <w:tcW w:w="3965" w:type="dxa"/>
          </w:tcPr>
          <w:p w14:paraId="3DCDF556" w14:textId="38398493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44716202" w14:textId="77777777" w:rsidTr="00243A55">
        <w:trPr>
          <w:trHeight w:val="1778"/>
          <w:jc w:val="center"/>
        </w:trPr>
        <w:tc>
          <w:tcPr>
            <w:tcW w:w="5395" w:type="dxa"/>
          </w:tcPr>
          <w:p w14:paraId="08AB2E2C" w14:textId="77777777" w:rsidR="001B7D2E" w:rsidRPr="00EF47A0" w:rsidRDefault="105FD69C" w:rsidP="00772ED6">
            <w:p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Standard practice is expected to include:</w:t>
            </w:r>
          </w:p>
          <w:p w14:paraId="06F86B58" w14:textId="08ED0A27" w:rsidR="00772ED6" w:rsidRPr="00EF47A0" w:rsidRDefault="105FD69C" w:rsidP="001B7D2E">
            <w:pPr>
              <w:pStyle w:val="ListParagraph"/>
              <w:numPr>
                <w:ilvl w:val="0"/>
                <w:numId w:val="5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Site reconnaissance</w:t>
            </w:r>
          </w:p>
          <w:p w14:paraId="100DF2DC" w14:textId="77777777" w:rsidR="00772ED6" w:rsidRPr="00EF47A0" w:rsidRDefault="105FD69C" w:rsidP="001B7D2E">
            <w:pPr>
              <w:pStyle w:val="ListParagraph"/>
              <w:numPr>
                <w:ilvl w:val="0"/>
                <w:numId w:val="5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Subsurface investigation and reconciliation with literature review findings</w:t>
            </w:r>
          </w:p>
          <w:p w14:paraId="7D71B440" w14:textId="77777777" w:rsidR="00772ED6" w:rsidRPr="00EF47A0" w:rsidRDefault="105FD69C" w:rsidP="001B7D2E">
            <w:pPr>
              <w:pStyle w:val="ListParagraph"/>
              <w:numPr>
                <w:ilvl w:val="0"/>
                <w:numId w:val="5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Groundwater monitoring</w:t>
            </w:r>
          </w:p>
          <w:p w14:paraId="51C88C36" w14:textId="45D7A8C0" w:rsidR="105FD69C" w:rsidRPr="00EF47A0" w:rsidRDefault="105FD69C" w:rsidP="001B7D2E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Slope stability and/or runout modelling.</w:t>
            </w:r>
          </w:p>
        </w:tc>
        <w:tc>
          <w:tcPr>
            <w:tcW w:w="3965" w:type="dxa"/>
          </w:tcPr>
          <w:p w14:paraId="53D05D6B" w14:textId="44548E92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</w:tbl>
    <w:p w14:paraId="4E7BE8D5" w14:textId="1D9DD6E5" w:rsidR="54395CDF" w:rsidRPr="00EF47A0" w:rsidRDefault="54395CDF">
      <w:pPr>
        <w:rPr>
          <w:rFonts w:ascii="Calibri" w:hAnsi="Calibri" w:cs="Calibri"/>
        </w:rPr>
      </w:pPr>
    </w:p>
    <w:p w14:paraId="08FA305B" w14:textId="63CEA9D8" w:rsidR="105FD69C" w:rsidRPr="00EF47A0" w:rsidRDefault="105FD69C" w:rsidP="54395CDF">
      <w:pPr>
        <w:pStyle w:val="Heading2"/>
        <w:rPr>
          <w:rFonts w:ascii="Calibri" w:hAnsi="Calibri" w:cs="Calibri"/>
        </w:rPr>
      </w:pPr>
      <w:r w:rsidRPr="00EF47A0">
        <w:rPr>
          <w:rFonts w:ascii="Calibri" w:hAnsi="Calibri" w:cs="Calibri"/>
        </w:rPr>
        <w:t>Creek Flood Hazard Guidelines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4680"/>
        <w:gridCol w:w="4680"/>
      </w:tblGrid>
      <w:tr w:rsidR="54395CDF" w:rsidRPr="00EF47A0" w14:paraId="4596BE63" w14:textId="77777777" w:rsidTr="00A75666">
        <w:trPr>
          <w:trHeight w:val="300"/>
          <w:jc w:val="center"/>
        </w:trPr>
        <w:tc>
          <w:tcPr>
            <w:tcW w:w="4680" w:type="dxa"/>
            <w:shd w:val="clear" w:color="auto" w:fill="D9D9D9" w:themeFill="background1" w:themeFillShade="D9"/>
          </w:tcPr>
          <w:p w14:paraId="70184FCD" w14:textId="013EB42C" w:rsidR="41A82D40" w:rsidRPr="00EF47A0" w:rsidRDefault="41A82D40" w:rsidP="54395CDF">
            <w:pPr>
              <w:rPr>
                <w:rFonts w:ascii="Calibri" w:hAnsi="Calibri" w:cs="Calibri"/>
                <w:b/>
                <w:bCs/>
              </w:rPr>
            </w:pPr>
            <w:r w:rsidRPr="00EF47A0">
              <w:rPr>
                <w:rFonts w:ascii="Calibri" w:hAnsi="Calibri" w:cs="Calibri"/>
                <w:b/>
                <w:bCs/>
              </w:rPr>
              <w:t>Guidelines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47474688" w14:textId="58C95BE2" w:rsidR="41A82D40" w:rsidRPr="00EF47A0" w:rsidRDefault="41A82D40" w:rsidP="54395CDF">
            <w:pPr>
              <w:rPr>
                <w:rFonts w:ascii="Calibri" w:hAnsi="Calibri" w:cs="Calibri"/>
                <w:b/>
                <w:bCs/>
              </w:rPr>
            </w:pPr>
            <w:r w:rsidRPr="00EF47A0">
              <w:rPr>
                <w:rFonts w:ascii="Calibri" w:hAnsi="Calibri" w:cs="Calibri"/>
                <w:b/>
                <w:bCs/>
              </w:rPr>
              <w:t>Met?</w:t>
            </w:r>
          </w:p>
        </w:tc>
      </w:tr>
      <w:tr w:rsidR="54395CDF" w:rsidRPr="00EF47A0" w14:paraId="53FE3D96" w14:textId="77777777" w:rsidTr="002D5D6A">
        <w:trPr>
          <w:trHeight w:val="300"/>
          <w:jc w:val="center"/>
        </w:trPr>
        <w:tc>
          <w:tcPr>
            <w:tcW w:w="4680" w:type="dxa"/>
          </w:tcPr>
          <w:p w14:paraId="050B85DB" w14:textId="77777777" w:rsidR="00CF622C" w:rsidRPr="00EF47A0" w:rsidRDefault="41A82D40" w:rsidP="54395CDF">
            <w:p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 xml:space="preserve">Qualified professionals must verify a safe development site within the creek flooding areas. Analysis to support development in a flood area may include: </w:t>
            </w:r>
          </w:p>
          <w:p w14:paraId="58AB125C" w14:textId="77777777" w:rsidR="00CF622C" w:rsidRPr="00EF47A0" w:rsidRDefault="41A82D40" w:rsidP="00CF622C">
            <w:pPr>
              <w:pStyle w:val="ListParagraph"/>
              <w:numPr>
                <w:ilvl w:val="0"/>
                <w:numId w:val="6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 xml:space="preserve">Hydraulic modelling to identify flood extents and the capacity of the culverts in the vicinity. The modelling may need to account for debris flows. </w:t>
            </w:r>
            <w:proofErr w:type="spellStart"/>
            <w:r w:rsidRPr="00EF47A0">
              <w:rPr>
                <w:rFonts w:ascii="Calibri" w:eastAsia="Aptos" w:hAnsi="Calibri" w:cs="Calibri"/>
              </w:rPr>
              <w:t>i</w:t>
            </w:r>
            <w:proofErr w:type="spellEnd"/>
            <w:r w:rsidRPr="00EF47A0">
              <w:rPr>
                <w:rFonts w:ascii="Calibri" w:eastAsia="Aptos" w:hAnsi="Calibri" w:cs="Calibri"/>
              </w:rPr>
              <w:t>. Gibson Creek – KWL (2013) identified that Gibson Creek may experience debris flows based on the Melton Ratio.</w:t>
            </w:r>
          </w:p>
          <w:p w14:paraId="596EE63F" w14:textId="419DAAB7" w:rsidR="41A82D40" w:rsidRPr="00EF47A0" w:rsidRDefault="41A82D40" w:rsidP="00CF622C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Slope stability and/or runout modelling.</w:t>
            </w:r>
          </w:p>
        </w:tc>
        <w:tc>
          <w:tcPr>
            <w:tcW w:w="4680" w:type="dxa"/>
          </w:tcPr>
          <w:p w14:paraId="43332497" w14:textId="172C4EBD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</w:tbl>
    <w:p w14:paraId="5735ED62" w14:textId="24BDB159" w:rsidR="41A82D40" w:rsidRPr="00EF47A0" w:rsidRDefault="41A82D40" w:rsidP="54395CDF">
      <w:pPr>
        <w:pStyle w:val="Heading2"/>
        <w:rPr>
          <w:rFonts w:ascii="Calibri" w:hAnsi="Calibri" w:cs="Calibri"/>
        </w:rPr>
      </w:pPr>
      <w:r w:rsidRPr="00EF47A0">
        <w:rPr>
          <w:rFonts w:ascii="Calibri" w:hAnsi="Calibri" w:cs="Calibri"/>
        </w:rPr>
        <w:lastRenderedPageBreak/>
        <w:t>Coastal Flood Hazard Guidelines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4680"/>
        <w:gridCol w:w="4680"/>
      </w:tblGrid>
      <w:tr w:rsidR="54395CDF" w:rsidRPr="00EF47A0" w14:paraId="13AFC44F" w14:textId="77777777" w:rsidTr="00A75666">
        <w:trPr>
          <w:trHeight w:val="300"/>
          <w:jc w:val="center"/>
        </w:trPr>
        <w:tc>
          <w:tcPr>
            <w:tcW w:w="4680" w:type="dxa"/>
            <w:shd w:val="clear" w:color="auto" w:fill="D9D9D9" w:themeFill="background1" w:themeFillShade="D9"/>
          </w:tcPr>
          <w:p w14:paraId="7533A710" w14:textId="013EB42C" w:rsidR="54395CDF" w:rsidRPr="00EF47A0" w:rsidRDefault="54395CDF" w:rsidP="54395CDF">
            <w:pPr>
              <w:rPr>
                <w:rFonts w:ascii="Calibri" w:hAnsi="Calibri" w:cs="Calibri"/>
                <w:b/>
                <w:bCs/>
              </w:rPr>
            </w:pPr>
            <w:r w:rsidRPr="00EF47A0">
              <w:rPr>
                <w:rFonts w:ascii="Calibri" w:hAnsi="Calibri" w:cs="Calibri"/>
                <w:b/>
                <w:bCs/>
              </w:rPr>
              <w:t>Guidelines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12909C5A" w14:textId="58C95BE2" w:rsidR="54395CDF" w:rsidRPr="00EF47A0" w:rsidRDefault="54395CDF" w:rsidP="54395CDF">
            <w:pPr>
              <w:rPr>
                <w:rFonts w:ascii="Calibri" w:hAnsi="Calibri" w:cs="Calibri"/>
                <w:b/>
                <w:bCs/>
              </w:rPr>
            </w:pPr>
            <w:r w:rsidRPr="00EF47A0">
              <w:rPr>
                <w:rFonts w:ascii="Calibri" w:hAnsi="Calibri" w:cs="Calibri"/>
                <w:b/>
                <w:bCs/>
              </w:rPr>
              <w:t>Met?</w:t>
            </w:r>
          </w:p>
        </w:tc>
      </w:tr>
      <w:tr w:rsidR="54395CDF" w:rsidRPr="00EF47A0" w14:paraId="5CE2CEDD" w14:textId="77777777" w:rsidTr="002D5D6A">
        <w:trPr>
          <w:trHeight w:val="300"/>
          <w:jc w:val="center"/>
        </w:trPr>
        <w:tc>
          <w:tcPr>
            <w:tcW w:w="4680" w:type="dxa"/>
          </w:tcPr>
          <w:p w14:paraId="386F0DF7" w14:textId="2C2651FC" w:rsidR="6AF1EB22" w:rsidRPr="00EF47A0" w:rsidRDefault="6AF1EB22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Development within the Coastal Flood Hazard areas must include a coastal engineering report prepared by a qualified Professional Engineer with coastal flood experience (i.e. Coastal Engineer) to verify a safe development site.</w:t>
            </w:r>
          </w:p>
        </w:tc>
        <w:tc>
          <w:tcPr>
            <w:tcW w:w="4680" w:type="dxa"/>
          </w:tcPr>
          <w:p w14:paraId="231E23FB" w14:textId="7781207B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65FDCEA8" w14:textId="77777777" w:rsidTr="002D5D6A">
        <w:trPr>
          <w:trHeight w:val="300"/>
          <w:jc w:val="center"/>
        </w:trPr>
        <w:tc>
          <w:tcPr>
            <w:tcW w:w="4680" w:type="dxa"/>
          </w:tcPr>
          <w:p w14:paraId="65F72EE1" w14:textId="449B213D" w:rsidR="6AF1EB22" w:rsidRPr="00EF47A0" w:rsidRDefault="6AF1EB22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 xml:space="preserve">A property-specific Flood Construction Level (FCL) is required if any proposed livable floor areas </w:t>
            </w:r>
            <w:proofErr w:type="gramStart"/>
            <w:r w:rsidRPr="00EF47A0">
              <w:rPr>
                <w:rFonts w:ascii="Calibri" w:eastAsia="Aptos" w:hAnsi="Calibri" w:cs="Calibri"/>
              </w:rPr>
              <w:t>will be</w:t>
            </w:r>
            <w:proofErr w:type="gramEnd"/>
            <w:r w:rsidRPr="00EF47A0">
              <w:rPr>
                <w:rFonts w:ascii="Calibri" w:eastAsia="Aptos" w:hAnsi="Calibri" w:cs="Calibri"/>
              </w:rPr>
              <w:t xml:space="preserve"> lower than the FCLs provided in Table 1, pg. 8 of Schedule C</w:t>
            </w:r>
            <w:r w:rsidR="4AD9DED7" w:rsidRPr="00EF47A0">
              <w:rPr>
                <w:rFonts w:ascii="Calibri" w:eastAsia="Aptos" w:hAnsi="Calibri" w:cs="Calibri"/>
              </w:rPr>
              <w:t>.</w:t>
            </w:r>
          </w:p>
        </w:tc>
        <w:tc>
          <w:tcPr>
            <w:tcW w:w="4680" w:type="dxa"/>
          </w:tcPr>
          <w:p w14:paraId="30FE0FBE" w14:textId="0E093E77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03D58968" w14:textId="77777777" w:rsidTr="002D5D6A">
        <w:trPr>
          <w:trHeight w:val="300"/>
          <w:jc w:val="center"/>
        </w:trPr>
        <w:tc>
          <w:tcPr>
            <w:tcW w:w="4680" w:type="dxa"/>
          </w:tcPr>
          <w:p w14:paraId="2E848599" w14:textId="77777777" w:rsidR="004D4ADE" w:rsidRPr="00EF47A0" w:rsidRDefault="4AD9DED7" w:rsidP="004D4ADE">
            <w:p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 xml:space="preserve">Analysis to support development in the coastal flooding areas must include: </w:t>
            </w:r>
          </w:p>
          <w:p w14:paraId="12890EA0" w14:textId="5ED86416" w:rsidR="004D4ADE" w:rsidRPr="00EF47A0" w:rsidRDefault="4AD9DED7" w:rsidP="004D4ADE">
            <w:pPr>
              <w:pStyle w:val="ListParagraph"/>
              <w:numPr>
                <w:ilvl w:val="0"/>
                <w:numId w:val="7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Estimation of coastal flood levels Consideration of future sea level rise and wave run-up</w:t>
            </w:r>
          </w:p>
          <w:p w14:paraId="58BEFF4E" w14:textId="77777777" w:rsidR="004D4ADE" w:rsidRPr="00EF47A0" w:rsidRDefault="4AD9DED7" w:rsidP="004D4ADE">
            <w:pPr>
              <w:pStyle w:val="ListParagraph"/>
              <w:numPr>
                <w:ilvl w:val="0"/>
                <w:numId w:val="7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Compliance with Provincial Flood Hazard Guidelines</w:t>
            </w:r>
          </w:p>
          <w:p w14:paraId="06C25B5C" w14:textId="77777777" w:rsidR="004D4ADE" w:rsidRPr="00EF47A0" w:rsidRDefault="4AD9DED7" w:rsidP="004D4ADE">
            <w:pPr>
              <w:pStyle w:val="ListParagraph"/>
              <w:numPr>
                <w:ilvl w:val="0"/>
                <w:numId w:val="7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Mitigation measures from potential transfer of flood risk to adjacent properties, consistent with the EGBC Flood Hazard Assessment (FHA) Guidelines (2018)</w:t>
            </w:r>
          </w:p>
          <w:p w14:paraId="4125DE88" w14:textId="6D378A52" w:rsidR="4AD9DED7" w:rsidRPr="00EF47A0" w:rsidRDefault="4AD9DED7" w:rsidP="54395CDF">
            <w:p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 xml:space="preserve">Consideration of nature-based solutions or </w:t>
            </w:r>
            <w:proofErr w:type="spellStart"/>
            <w:r w:rsidRPr="00EF47A0">
              <w:rPr>
                <w:rFonts w:ascii="Calibri" w:eastAsia="Aptos" w:hAnsi="Calibri" w:cs="Calibri"/>
              </w:rPr>
              <w:t>Greenshores</w:t>
            </w:r>
            <w:proofErr w:type="spellEnd"/>
            <w:r w:rsidRPr="00EF47A0">
              <w:rPr>
                <w:rFonts w:ascii="Calibri" w:eastAsia="Aptos" w:hAnsi="Calibri" w:cs="Calibri"/>
              </w:rPr>
              <w:t xml:space="preserve"> approaches that manage coastal flood and erosion</w:t>
            </w:r>
          </w:p>
        </w:tc>
        <w:tc>
          <w:tcPr>
            <w:tcW w:w="4680" w:type="dxa"/>
          </w:tcPr>
          <w:p w14:paraId="4FF3C3A1" w14:textId="5AD03BCC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  <w:tr w:rsidR="54395CDF" w:rsidRPr="00EF47A0" w14:paraId="2CC6459A" w14:textId="77777777" w:rsidTr="002D5D6A">
        <w:trPr>
          <w:trHeight w:val="300"/>
          <w:jc w:val="center"/>
        </w:trPr>
        <w:tc>
          <w:tcPr>
            <w:tcW w:w="4680" w:type="dxa"/>
          </w:tcPr>
          <w:p w14:paraId="4A8F5905" w14:textId="77777777" w:rsidR="00552743" w:rsidRPr="00EF47A0" w:rsidRDefault="4AD9DED7" w:rsidP="54395CDF">
            <w:p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Development in Coastal Flood Hazard Areas must identify a Flood Construction Level (FCL) sufficient for the intended lifespan of the development (or adhere to minimum FCLs in Table 1) and specify measures to achieve it, such as</w:t>
            </w:r>
            <w:r w:rsidR="00552743" w:rsidRPr="00EF47A0">
              <w:rPr>
                <w:rFonts w:ascii="Calibri" w:eastAsia="Aptos" w:hAnsi="Calibri" w:cs="Calibri"/>
              </w:rPr>
              <w:t>:</w:t>
            </w:r>
          </w:p>
          <w:p w14:paraId="45782D44" w14:textId="77777777" w:rsidR="00552743" w:rsidRPr="00EF47A0" w:rsidRDefault="4AD9DED7" w:rsidP="00552743">
            <w:pPr>
              <w:pStyle w:val="ListParagraph"/>
              <w:numPr>
                <w:ilvl w:val="0"/>
                <w:numId w:val="8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Engineered fill</w:t>
            </w:r>
          </w:p>
          <w:p w14:paraId="41318084" w14:textId="77777777" w:rsidR="00552743" w:rsidRPr="00EF47A0" w:rsidRDefault="4AD9DED7" w:rsidP="00552743">
            <w:pPr>
              <w:pStyle w:val="ListParagraph"/>
              <w:numPr>
                <w:ilvl w:val="0"/>
                <w:numId w:val="8"/>
              </w:numPr>
              <w:rPr>
                <w:rFonts w:ascii="Calibri" w:eastAsia="Aptos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>Raised foundations</w:t>
            </w:r>
          </w:p>
          <w:p w14:paraId="78EC82E0" w14:textId="4C179EBC" w:rsidR="4AD9DED7" w:rsidRPr="00EF47A0" w:rsidRDefault="4AD9DED7" w:rsidP="00552743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EF47A0">
              <w:rPr>
                <w:rFonts w:ascii="Calibri" w:eastAsia="Aptos" w:hAnsi="Calibri" w:cs="Calibri"/>
              </w:rPr>
              <w:t xml:space="preserve">Coastal bank protection or </w:t>
            </w:r>
            <w:proofErr w:type="spellStart"/>
            <w:r w:rsidRPr="00EF47A0">
              <w:rPr>
                <w:rFonts w:ascii="Calibri" w:eastAsia="Aptos" w:hAnsi="Calibri" w:cs="Calibri"/>
              </w:rPr>
              <w:t>armouring</w:t>
            </w:r>
            <w:proofErr w:type="spellEnd"/>
            <w:r w:rsidRPr="00EF47A0">
              <w:rPr>
                <w:rFonts w:ascii="Calibri" w:eastAsia="Aptos" w:hAnsi="Calibri" w:cs="Calibri"/>
              </w:rPr>
              <w:t>.</w:t>
            </w:r>
          </w:p>
        </w:tc>
        <w:tc>
          <w:tcPr>
            <w:tcW w:w="4680" w:type="dxa"/>
          </w:tcPr>
          <w:p w14:paraId="63880C25" w14:textId="276BC581" w:rsidR="54395CDF" w:rsidRPr="00EF47A0" w:rsidRDefault="54395CDF" w:rsidP="54395CDF">
            <w:pPr>
              <w:rPr>
                <w:rFonts w:ascii="Calibri" w:hAnsi="Calibri" w:cs="Calibri"/>
              </w:rPr>
            </w:pPr>
          </w:p>
        </w:tc>
      </w:tr>
    </w:tbl>
    <w:p w14:paraId="0D318333" w14:textId="4C790459" w:rsidR="54395CDF" w:rsidRPr="00EF47A0" w:rsidRDefault="54395CDF" w:rsidP="005A2859">
      <w:pPr>
        <w:rPr>
          <w:rFonts w:ascii="Calibri" w:hAnsi="Calibri" w:cs="Calibri"/>
        </w:rPr>
      </w:pPr>
    </w:p>
    <w:sectPr w:rsidR="54395CDF" w:rsidRPr="00EF47A0" w:rsidSect="00C215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094A6" w14:textId="77777777" w:rsidR="003C459E" w:rsidRDefault="003C459E" w:rsidP="00F33F9A">
      <w:pPr>
        <w:spacing w:after="0" w:line="240" w:lineRule="auto"/>
      </w:pPr>
      <w:r>
        <w:separator/>
      </w:r>
    </w:p>
  </w:endnote>
  <w:endnote w:type="continuationSeparator" w:id="0">
    <w:p w14:paraId="6112DA85" w14:textId="77777777" w:rsidR="003C459E" w:rsidRDefault="003C459E" w:rsidP="00F3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3629" w14:textId="77777777" w:rsidR="00F33F9A" w:rsidRDefault="00F33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4AB0F" w14:textId="77777777" w:rsidR="00F33F9A" w:rsidRDefault="00F33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95B0" w14:textId="77777777" w:rsidR="00F33F9A" w:rsidRDefault="00F33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0B61" w14:textId="77777777" w:rsidR="003C459E" w:rsidRDefault="003C459E" w:rsidP="00F33F9A">
      <w:pPr>
        <w:spacing w:after="0" w:line="240" w:lineRule="auto"/>
      </w:pPr>
      <w:r>
        <w:separator/>
      </w:r>
    </w:p>
  </w:footnote>
  <w:footnote w:type="continuationSeparator" w:id="0">
    <w:p w14:paraId="71A5F4B5" w14:textId="77777777" w:rsidR="003C459E" w:rsidRDefault="003C459E" w:rsidP="00F3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301E" w14:textId="77777777" w:rsidR="00F33F9A" w:rsidRDefault="00F33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259B" w14:textId="7D75A813" w:rsidR="00F33F9A" w:rsidRDefault="00F33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0BBC" w14:textId="77777777" w:rsidR="00F33F9A" w:rsidRDefault="00F33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7F"/>
    <w:multiLevelType w:val="hybridMultilevel"/>
    <w:tmpl w:val="04463FA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773EA"/>
    <w:multiLevelType w:val="hybridMultilevel"/>
    <w:tmpl w:val="6A2E046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110A4"/>
    <w:multiLevelType w:val="hybridMultilevel"/>
    <w:tmpl w:val="22882E9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A3371"/>
    <w:multiLevelType w:val="hybridMultilevel"/>
    <w:tmpl w:val="883E4DF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77A9"/>
    <w:multiLevelType w:val="hybridMultilevel"/>
    <w:tmpl w:val="D74AACA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D79AC"/>
    <w:multiLevelType w:val="hybridMultilevel"/>
    <w:tmpl w:val="2B78038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44746"/>
    <w:multiLevelType w:val="hybridMultilevel"/>
    <w:tmpl w:val="061CCD3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2244E"/>
    <w:multiLevelType w:val="hybridMultilevel"/>
    <w:tmpl w:val="D7743A6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6980">
    <w:abstractNumId w:val="2"/>
  </w:num>
  <w:num w:numId="2" w16cid:durableId="1885173327">
    <w:abstractNumId w:val="0"/>
  </w:num>
  <w:num w:numId="3" w16cid:durableId="1873227647">
    <w:abstractNumId w:val="6"/>
  </w:num>
  <w:num w:numId="4" w16cid:durableId="98258171">
    <w:abstractNumId w:val="7"/>
  </w:num>
  <w:num w:numId="5" w16cid:durableId="610285840">
    <w:abstractNumId w:val="5"/>
  </w:num>
  <w:num w:numId="6" w16cid:durableId="743139652">
    <w:abstractNumId w:val="1"/>
  </w:num>
  <w:num w:numId="7" w16cid:durableId="1424496632">
    <w:abstractNumId w:val="3"/>
  </w:num>
  <w:num w:numId="8" w16cid:durableId="682778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9F45D1"/>
    <w:rsid w:val="00043E48"/>
    <w:rsid w:val="00090224"/>
    <w:rsid w:val="000B14A9"/>
    <w:rsid w:val="00135FAE"/>
    <w:rsid w:val="00175B3A"/>
    <w:rsid w:val="001904AB"/>
    <w:rsid w:val="001A22C2"/>
    <w:rsid w:val="001B7D2E"/>
    <w:rsid w:val="00243A55"/>
    <w:rsid w:val="002561E5"/>
    <w:rsid w:val="002D5D6A"/>
    <w:rsid w:val="00350EF3"/>
    <w:rsid w:val="0039224C"/>
    <w:rsid w:val="003C459E"/>
    <w:rsid w:val="003C72BF"/>
    <w:rsid w:val="003E6495"/>
    <w:rsid w:val="0042622E"/>
    <w:rsid w:val="00480179"/>
    <w:rsid w:val="004C11A7"/>
    <w:rsid w:val="004D4ADE"/>
    <w:rsid w:val="004F793B"/>
    <w:rsid w:val="00546E3E"/>
    <w:rsid w:val="00552743"/>
    <w:rsid w:val="00560B70"/>
    <w:rsid w:val="005A2859"/>
    <w:rsid w:val="005C23BD"/>
    <w:rsid w:val="0061425D"/>
    <w:rsid w:val="006D6CE6"/>
    <w:rsid w:val="006F3F9E"/>
    <w:rsid w:val="00772ED6"/>
    <w:rsid w:val="007D0167"/>
    <w:rsid w:val="00806E31"/>
    <w:rsid w:val="00845AC1"/>
    <w:rsid w:val="00886543"/>
    <w:rsid w:val="008D7081"/>
    <w:rsid w:val="0090533A"/>
    <w:rsid w:val="00930685"/>
    <w:rsid w:val="009F1327"/>
    <w:rsid w:val="009F6C9B"/>
    <w:rsid w:val="00A75666"/>
    <w:rsid w:val="00AE3440"/>
    <w:rsid w:val="00B472A8"/>
    <w:rsid w:val="00B64835"/>
    <w:rsid w:val="00B664EA"/>
    <w:rsid w:val="00C215CD"/>
    <w:rsid w:val="00CF1D8F"/>
    <w:rsid w:val="00CF622C"/>
    <w:rsid w:val="00D34FA8"/>
    <w:rsid w:val="00D616CC"/>
    <w:rsid w:val="00DB139A"/>
    <w:rsid w:val="00DC7342"/>
    <w:rsid w:val="00DF6A12"/>
    <w:rsid w:val="00E47A71"/>
    <w:rsid w:val="00E54AA0"/>
    <w:rsid w:val="00E60C6A"/>
    <w:rsid w:val="00EA5C08"/>
    <w:rsid w:val="00EB26D4"/>
    <w:rsid w:val="00EF47A0"/>
    <w:rsid w:val="00F33F9A"/>
    <w:rsid w:val="00F570C2"/>
    <w:rsid w:val="00F764CE"/>
    <w:rsid w:val="00FC25D1"/>
    <w:rsid w:val="00FF76B3"/>
    <w:rsid w:val="03037ADB"/>
    <w:rsid w:val="047DBF3B"/>
    <w:rsid w:val="06390A21"/>
    <w:rsid w:val="0E431C3A"/>
    <w:rsid w:val="105FD69C"/>
    <w:rsid w:val="115EC01D"/>
    <w:rsid w:val="12117DB7"/>
    <w:rsid w:val="1517D0C3"/>
    <w:rsid w:val="169A6F24"/>
    <w:rsid w:val="170AEAD3"/>
    <w:rsid w:val="1986AE8C"/>
    <w:rsid w:val="1E647169"/>
    <w:rsid w:val="30835EBA"/>
    <w:rsid w:val="35F4046B"/>
    <w:rsid w:val="3CE07F16"/>
    <w:rsid w:val="3D0B8B95"/>
    <w:rsid w:val="41A82D40"/>
    <w:rsid w:val="41E87C72"/>
    <w:rsid w:val="483DB33B"/>
    <w:rsid w:val="4A142691"/>
    <w:rsid w:val="4AD9DED7"/>
    <w:rsid w:val="4AF52D34"/>
    <w:rsid w:val="50C57AA2"/>
    <w:rsid w:val="54395CDF"/>
    <w:rsid w:val="58237899"/>
    <w:rsid w:val="589F45D1"/>
    <w:rsid w:val="59166028"/>
    <w:rsid w:val="64DC1014"/>
    <w:rsid w:val="65DCAEE4"/>
    <w:rsid w:val="6AF1EB22"/>
    <w:rsid w:val="6CAD4BBC"/>
    <w:rsid w:val="6FC97AC1"/>
    <w:rsid w:val="729D09C4"/>
    <w:rsid w:val="73C07028"/>
    <w:rsid w:val="78E5F771"/>
    <w:rsid w:val="79E1E041"/>
    <w:rsid w:val="7C8B8F2D"/>
    <w:rsid w:val="7F47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F45D1"/>
  <w15:chartTrackingRefBased/>
  <w15:docId w15:val="{09A9D2EC-8E58-4C32-8348-411A7B59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54395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54395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54395CDF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D01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F9A"/>
  </w:style>
  <w:style w:type="paragraph" w:styleId="Footer">
    <w:name w:val="footer"/>
    <w:basedOn w:val="Normal"/>
    <w:link w:val="FooterChar"/>
    <w:uiPriority w:val="99"/>
    <w:unhideWhenUsed/>
    <w:rsid w:val="00F33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5159154D73145B191AEE9EB642725" ma:contentTypeVersion="12" ma:contentTypeDescription="Create a new document." ma:contentTypeScope="" ma:versionID="ef77fb81f515e4f534396aad539fad86">
  <xsd:schema xmlns:xsd="http://www.w3.org/2001/XMLSchema" xmlns:xs="http://www.w3.org/2001/XMLSchema" xmlns:p="http://schemas.microsoft.com/office/2006/metadata/properties" xmlns:ns2="9b5b8b80-67e3-4962-8cb3-b5424eb7205d" xmlns:ns3="7008804d-6e2a-42c0-afb1-365ca1d34d7a" targetNamespace="http://schemas.microsoft.com/office/2006/metadata/properties" ma:root="true" ma:fieldsID="872e4c171ff38f6c16dcba87a270b551" ns2:_="" ns3:_="">
    <xsd:import namespace="9b5b8b80-67e3-4962-8cb3-b5424eb7205d"/>
    <xsd:import namespace="7008804d-6e2a-42c0-afb1-365ca1d34d7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b8b80-67e3-4962-8cb3-b5424eb7205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b024f69-61c4-47a6-a233-bcefd3c8ad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8804d-6e2a-42c0-afb1-365ca1d34d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5ad915-238e-46c7-826c-f28963b9aa19}" ma:internalName="TaxCatchAll" ma:showField="CatchAllData" ma:web="7008804d-6e2a-42c0-afb1-365ca1d34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5b8b80-67e3-4962-8cb3-b5424eb7205d">
      <Terms xmlns="http://schemas.microsoft.com/office/infopath/2007/PartnerControls"/>
    </lcf76f155ced4ddcb4097134ff3c332f>
    <TaxCatchAll xmlns="7008804d-6e2a-42c0-afb1-365ca1d34d7a" xsi:nil="true"/>
  </documentManagement>
</p:properties>
</file>

<file path=customXml/itemProps1.xml><?xml version="1.0" encoding="utf-8"?>
<ds:datastoreItem xmlns:ds="http://schemas.openxmlformats.org/officeDocument/2006/customXml" ds:itemID="{10186A53-FB12-4F12-8090-1882B0C537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7D75-CE5E-4D86-A058-CC29A40AC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b8b80-67e3-4962-8cb3-b5424eb7205d"/>
    <ds:schemaRef ds:uri="7008804d-6e2a-42c0-afb1-365ca1d34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4B4214-2504-46A2-BA88-2C9AF2C84A47}">
  <ds:schemaRefs>
    <ds:schemaRef ds:uri="http://schemas.microsoft.com/office/2006/metadata/properties"/>
    <ds:schemaRef ds:uri="http://schemas.microsoft.com/office/infopath/2007/PartnerControls"/>
    <ds:schemaRef ds:uri="9b5b8b80-67e3-4962-8cb3-b5424eb7205d"/>
    <ds:schemaRef ds:uri="7008804d-6e2a-42c0-afb1-365ca1d34d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Uglem</dc:creator>
  <cp:keywords/>
  <dc:description/>
  <cp:lastModifiedBy>Lisa Evanson</cp:lastModifiedBy>
  <cp:revision>42</cp:revision>
  <dcterms:created xsi:type="dcterms:W3CDTF">2026-01-09T16:44:00Z</dcterms:created>
  <dcterms:modified xsi:type="dcterms:W3CDTF">2026-07-10T16:01:00Z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0x0101007E25159154D73145B191AEE9EB642725</vt:lpwstr>
  </property>
  <property fmtid="{D5CDD505-2E9C-101B-9397-08002B2CF9AE}" pid="3" name="MediaServiceImageTags">
    <vt:lpwstr/>
  </property>
</Properties>
</file>