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AF40C9" w14:textId="2443E99F" w:rsidR="00856202" w:rsidRDefault="00B96C55" w:rsidP="00A22C71">
      <w:pPr>
        <w:ind w:left="1440"/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</w:pPr>
      <w:r w:rsidRPr="00130533">
        <w:rPr>
          <w:rFonts w:ascii="Calibri" w:eastAsiaTheme="majorEastAsia" w:hAnsi="Calibri" w:cs="Calibri"/>
          <w:b/>
          <w:noProof/>
          <w:color w:val="4D868E"/>
          <w:sz w:val="40"/>
          <w:szCs w:val="40"/>
          <w:lang w:val="en-CA" w:eastAsia="en-US"/>
        </w:rPr>
        <w:drawing>
          <wp:anchor distT="0" distB="0" distL="114300" distR="114300" simplePos="0" relativeHeight="251658240" behindDoc="0" locked="0" layoutInCell="1" allowOverlap="1" wp14:anchorId="142BC187" wp14:editId="494D5633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1084799" cy="1085723"/>
            <wp:effectExtent l="0" t="0" r="1270" b="635"/>
            <wp:wrapNone/>
            <wp:docPr id="2081386650" name="Picture 1" descr="The image depicts the town seal of Gibbons, featuring a stylized fish logo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1386650" name="Picture 1" descr="The image depicts the town seal of Gibbons, featuring a stylized fish logo.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4799" cy="10857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A22C71"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  <w:t xml:space="preserve">    </w:t>
      </w:r>
      <w:r w:rsidR="004330D1" w:rsidRPr="00130533"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  <w:t xml:space="preserve">Gibsons Landing Form and Character DPA Criteria </w:t>
      </w:r>
    </w:p>
    <w:p w14:paraId="5B50BD11" w14:textId="77777777" w:rsidR="00A22C71" w:rsidRPr="00130533" w:rsidRDefault="00A22C71" w:rsidP="00A22C71">
      <w:pPr>
        <w:ind w:left="1440"/>
        <w:rPr>
          <w:rFonts w:ascii="Calibri" w:eastAsiaTheme="majorEastAsia" w:hAnsi="Calibri" w:cs="Calibri"/>
          <w:b/>
          <w:color w:val="4D868E"/>
          <w:sz w:val="40"/>
          <w:szCs w:val="40"/>
          <w:lang w:val="en-CA" w:eastAsia="en-US"/>
        </w:rPr>
      </w:pPr>
    </w:p>
    <w:tbl>
      <w:tblPr>
        <w:tblStyle w:val="TableGridLight"/>
        <w:tblW w:w="0" w:type="auto"/>
        <w:tblLook w:val="0420" w:firstRow="1" w:lastRow="0" w:firstColumn="0" w:lastColumn="0" w:noHBand="0" w:noVBand="1"/>
      </w:tblPr>
      <w:tblGrid>
        <w:gridCol w:w="7227"/>
        <w:gridCol w:w="955"/>
        <w:gridCol w:w="2613"/>
      </w:tblGrid>
      <w:tr w:rsidR="00B35EB0" w:rsidRPr="00130533" w14:paraId="23C8D857" w14:textId="77777777" w:rsidTr="00E01A62">
        <w:tc>
          <w:tcPr>
            <w:tcW w:w="7227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  <w:hideMark/>
          </w:tcPr>
          <w:p w14:paraId="6FFB5AD7" w14:textId="300D16D0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b/>
                <w:bCs/>
                <w:lang w:val="en-CA"/>
              </w:rPr>
            </w:pPr>
          </w:p>
        </w:tc>
        <w:tc>
          <w:tcPr>
            <w:tcW w:w="9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</w:tcBorders>
            <w:hideMark/>
          </w:tcPr>
          <w:p w14:paraId="18D8EF68" w14:textId="3ED0B2DA" w:rsidR="00B35EB0" w:rsidRPr="00130533" w:rsidRDefault="000807AC" w:rsidP="006840FD">
            <w:pPr>
              <w:spacing w:after="160" w:line="279" w:lineRule="auto"/>
              <w:jc w:val="center"/>
              <w:rPr>
                <w:rFonts w:ascii="Calibri" w:hAnsi="Calibri" w:cs="Calibri"/>
                <w:b/>
                <w:bCs/>
                <w:lang w:val="en-CA"/>
              </w:rPr>
            </w:pPr>
            <w:r w:rsidRPr="00130533">
              <w:rPr>
                <w:rFonts w:ascii="Calibri" w:hAnsi="Calibri" w:cs="Calibri"/>
                <w:b/>
                <w:bCs/>
                <w:lang w:val="en-CA"/>
              </w:rPr>
              <w:t xml:space="preserve">Criteria </w:t>
            </w:r>
            <w:r w:rsidR="00B35EB0" w:rsidRPr="00130533">
              <w:rPr>
                <w:rFonts w:ascii="Calibri" w:hAnsi="Calibri" w:cs="Calibri"/>
                <w:b/>
                <w:bCs/>
                <w:lang w:val="en-CA"/>
              </w:rPr>
              <w:t>Met?</w:t>
            </w:r>
          </w:p>
        </w:tc>
        <w:tc>
          <w:tcPr>
            <w:tcW w:w="2613" w:type="dxa"/>
            <w:tcBorders>
              <w:top w:val="single" w:sz="4" w:space="0" w:color="BFBFBF" w:themeColor="background1" w:themeShade="BF"/>
            </w:tcBorders>
            <w:hideMark/>
          </w:tcPr>
          <w:p w14:paraId="556521A7" w14:textId="77777777" w:rsidR="00B35EB0" w:rsidRPr="00130533" w:rsidRDefault="00B35EB0" w:rsidP="006840FD">
            <w:pPr>
              <w:spacing w:after="160" w:line="279" w:lineRule="auto"/>
              <w:jc w:val="center"/>
              <w:rPr>
                <w:rFonts w:ascii="Calibri" w:hAnsi="Calibri" w:cs="Calibri"/>
                <w:b/>
                <w:bCs/>
                <w:lang w:val="en-CA"/>
              </w:rPr>
            </w:pPr>
            <w:r w:rsidRPr="00130533">
              <w:rPr>
                <w:rFonts w:ascii="Calibri" w:hAnsi="Calibri" w:cs="Calibri"/>
                <w:b/>
                <w:bCs/>
                <w:lang w:val="en-CA"/>
              </w:rPr>
              <w:t>Comments / Drawing Reference</w:t>
            </w:r>
          </w:p>
        </w:tc>
      </w:tr>
      <w:tr w:rsidR="001C7AAF" w:rsidRPr="00130533" w14:paraId="00566760" w14:textId="77777777" w:rsidTr="00155C05">
        <w:trPr>
          <w:trHeight w:val="288"/>
        </w:trPr>
        <w:tc>
          <w:tcPr>
            <w:tcW w:w="10795" w:type="dxa"/>
            <w:gridSpan w:val="3"/>
            <w:shd w:val="clear" w:color="auto" w:fill="E8E8E8" w:themeFill="background2"/>
            <w:hideMark/>
          </w:tcPr>
          <w:p w14:paraId="3CBB8126" w14:textId="27E5376F" w:rsidR="001C7AAF" w:rsidRPr="006840FD" w:rsidRDefault="001C7AAF" w:rsidP="00B35EB0">
            <w:pPr>
              <w:spacing w:after="160" w:line="279" w:lineRule="auto"/>
              <w:rPr>
                <w:rFonts w:ascii="Calibri" w:hAnsi="Calibri" w:cs="Calibri"/>
                <w:sz w:val="28"/>
                <w:szCs w:val="28"/>
                <w:lang w:val="en-CA"/>
              </w:rPr>
            </w:pPr>
            <w:r w:rsidRPr="006840FD">
              <w:rPr>
                <w:rFonts w:ascii="Calibri" w:hAnsi="Calibri" w:cs="Calibri"/>
                <w:b/>
                <w:bCs/>
                <w:sz w:val="28"/>
                <w:szCs w:val="28"/>
                <w:lang w:val="en-CA"/>
              </w:rPr>
              <w:t>Public Realm</w:t>
            </w:r>
          </w:p>
        </w:tc>
      </w:tr>
      <w:tr w:rsidR="00B35EB0" w:rsidRPr="00130533" w14:paraId="1B93025B" w14:textId="77777777" w:rsidTr="00D4456A">
        <w:tc>
          <w:tcPr>
            <w:tcW w:w="7227" w:type="dxa"/>
            <w:hideMark/>
          </w:tcPr>
          <w:p w14:paraId="0DC875D1" w14:textId="77777777" w:rsidR="00B35EB0" w:rsidRPr="00130533" w:rsidRDefault="00B35EB0" w:rsidP="00D4456A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Building design provides a variety of textures and details to create visual interest and activate streets and pedestrian-oriented spaces</w:t>
            </w:r>
          </w:p>
        </w:tc>
        <w:tc>
          <w:tcPr>
            <w:tcW w:w="955" w:type="dxa"/>
            <w:hideMark/>
          </w:tcPr>
          <w:p w14:paraId="5E5C7F49" w14:textId="7C5BF8BF" w:rsidR="00B35EB0" w:rsidRPr="00130533" w:rsidRDefault="00B35EB0" w:rsidP="00B96C55">
            <w:pPr>
              <w:spacing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1D8BE9BF" w14:textId="4757F1F9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07233CA8" w14:textId="77777777" w:rsidTr="00D4456A">
        <w:tc>
          <w:tcPr>
            <w:tcW w:w="7227" w:type="dxa"/>
            <w:hideMark/>
          </w:tcPr>
          <w:p w14:paraId="71CE18D9" w14:textId="77777777" w:rsidR="00B35EB0" w:rsidRPr="00130533" w:rsidRDefault="00B35EB0" w:rsidP="00D4456A">
            <w:pPr>
              <w:spacing w:after="12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Development incorporates public-realm enhancements (e.g., covered entrances, street furniture, patios, landscaping, lighting, garbage receptacles)</w:t>
            </w:r>
          </w:p>
        </w:tc>
        <w:tc>
          <w:tcPr>
            <w:tcW w:w="955" w:type="dxa"/>
            <w:hideMark/>
          </w:tcPr>
          <w:p w14:paraId="0A9C3B17" w14:textId="6F62AC33" w:rsidR="00B35EB0" w:rsidRPr="00130533" w:rsidRDefault="00B35EB0" w:rsidP="00B96C55">
            <w:pPr>
              <w:spacing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26939761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50A9CCD5" w14:textId="77777777" w:rsidTr="00D4456A">
        <w:tc>
          <w:tcPr>
            <w:tcW w:w="7227" w:type="dxa"/>
            <w:hideMark/>
          </w:tcPr>
          <w:p w14:paraId="6DDAB964" w14:textId="77777777" w:rsidR="00B35EB0" w:rsidRPr="00130533" w:rsidRDefault="00B35EB0" w:rsidP="00D4456A">
            <w:pPr>
              <w:spacing w:after="12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Commercial services with limited street transparency (e.g., banks, offices) are located above grade or at the extremities of the Gibsons Landing commercial area</w:t>
            </w:r>
          </w:p>
        </w:tc>
        <w:tc>
          <w:tcPr>
            <w:tcW w:w="955" w:type="dxa"/>
            <w:hideMark/>
          </w:tcPr>
          <w:p w14:paraId="7B0732A7" w14:textId="37750143" w:rsidR="00B35EB0" w:rsidRPr="00130533" w:rsidRDefault="00B35EB0" w:rsidP="00B96C55">
            <w:pPr>
              <w:spacing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5E2F1E49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7111FE06" w14:textId="77777777" w:rsidTr="00D4456A">
        <w:tc>
          <w:tcPr>
            <w:tcW w:w="7227" w:type="dxa"/>
            <w:hideMark/>
          </w:tcPr>
          <w:p w14:paraId="1D23D9F4" w14:textId="77777777" w:rsidR="00B35EB0" w:rsidRPr="00130533" w:rsidRDefault="00B35EB0" w:rsidP="00D4456A">
            <w:pPr>
              <w:spacing w:after="12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Buildings and structures are pedestrian-oriented at the ground level</w:t>
            </w:r>
          </w:p>
        </w:tc>
        <w:tc>
          <w:tcPr>
            <w:tcW w:w="955" w:type="dxa"/>
            <w:hideMark/>
          </w:tcPr>
          <w:p w14:paraId="036D1F90" w14:textId="1EBE2E00" w:rsidR="00B35EB0" w:rsidRPr="00130533" w:rsidRDefault="00B35EB0" w:rsidP="00B96C55">
            <w:pPr>
              <w:spacing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0C609A74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4FFE3D3D" w14:textId="77777777" w:rsidTr="00D4456A">
        <w:tc>
          <w:tcPr>
            <w:tcW w:w="7227" w:type="dxa"/>
            <w:hideMark/>
          </w:tcPr>
          <w:p w14:paraId="5A4B1A9F" w14:textId="77777777" w:rsidR="00B35EB0" w:rsidRPr="00130533" w:rsidRDefault="00B35EB0" w:rsidP="00D4456A">
            <w:pPr>
              <w:spacing w:after="12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Ground-level pedestrian orientation is achieved through emphasis on fenestration</w:t>
            </w:r>
          </w:p>
        </w:tc>
        <w:tc>
          <w:tcPr>
            <w:tcW w:w="955" w:type="dxa"/>
            <w:hideMark/>
          </w:tcPr>
          <w:p w14:paraId="0E493C14" w14:textId="00F7747F" w:rsidR="00B35EB0" w:rsidRPr="00130533" w:rsidRDefault="00B35EB0" w:rsidP="00B96C55">
            <w:pPr>
              <w:spacing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2A92777A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507378FA" w14:textId="77777777" w:rsidTr="00D4456A">
        <w:tc>
          <w:tcPr>
            <w:tcW w:w="7227" w:type="dxa"/>
            <w:hideMark/>
          </w:tcPr>
          <w:p w14:paraId="678036A8" w14:textId="77777777" w:rsidR="00B35EB0" w:rsidRPr="00130533" w:rsidRDefault="00B35EB0" w:rsidP="00D4456A">
            <w:pPr>
              <w:spacing w:after="12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Architectural emphasis, awnings, or step-backs are provided at the first or second storey to impart pedestrian scale</w:t>
            </w:r>
          </w:p>
        </w:tc>
        <w:tc>
          <w:tcPr>
            <w:tcW w:w="955" w:type="dxa"/>
            <w:hideMark/>
          </w:tcPr>
          <w:p w14:paraId="3CBDC1A5" w14:textId="276A3D98" w:rsidR="00B35EB0" w:rsidRPr="00130533" w:rsidRDefault="00B35EB0" w:rsidP="00B96C55">
            <w:pPr>
              <w:spacing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56BA9F05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2B4B6D35" w14:textId="77777777" w:rsidTr="00D4456A">
        <w:tc>
          <w:tcPr>
            <w:tcW w:w="7227" w:type="dxa"/>
            <w:hideMark/>
          </w:tcPr>
          <w:p w14:paraId="78F4F9D1" w14:textId="77777777" w:rsidR="00B35EB0" w:rsidRPr="00130533" w:rsidRDefault="00B35EB0" w:rsidP="00D4456A">
            <w:pPr>
              <w:spacing w:after="12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Weather protection is provided along pedestrian routes using awnings, arcades, or canopies integral to the building form (maximum 3.5 m above finished grade)</w:t>
            </w:r>
          </w:p>
        </w:tc>
        <w:tc>
          <w:tcPr>
            <w:tcW w:w="955" w:type="dxa"/>
            <w:hideMark/>
          </w:tcPr>
          <w:p w14:paraId="6920AF73" w14:textId="303CCBFC" w:rsidR="00B35EB0" w:rsidRPr="00130533" w:rsidRDefault="00B35EB0" w:rsidP="00B96C55">
            <w:pPr>
              <w:spacing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25F7B79B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2CBF5C91" w14:textId="77777777" w:rsidTr="00D4456A">
        <w:tc>
          <w:tcPr>
            <w:tcW w:w="7227" w:type="dxa"/>
            <w:hideMark/>
          </w:tcPr>
          <w:p w14:paraId="07A95111" w14:textId="77777777" w:rsidR="00B35EB0" w:rsidRPr="00130533" w:rsidRDefault="00B35EB0" w:rsidP="00D4456A">
            <w:pPr>
              <w:spacing w:after="12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Street-level shopfronts are highly transparent and constructed of glass or similar materials</w:t>
            </w:r>
          </w:p>
        </w:tc>
        <w:tc>
          <w:tcPr>
            <w:tcW w:w="955" w:type="dxa"/>
            <w:hideMark/>
          </w:tcPr>
          <w:p w14:paraId="05979F3E" w14:textId="31C9B44B" w:rsidR="00B35EB0" w:rsidRPr="00130533" w:rsidRDefault="00B35EB0" w:rsidP="00B96C55">
            <w:pPr>
              <w:spacing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24C4CB7E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2B2B38E8" w14:textId="77777777" w:rsidTr="00D4456A">
        <w:tc>
          <w:tcPr>
            <w:tcW w:w="7227" w:type="dxa"/>
            <w:hideMark/>
          </w:tcPr>
          <w:p w14:paraId="444EFE91" w14:textId="77777777" w:rsidR="00B35EB0" w:rsidRPr="00130533" w:rsidRDefault="00B35EB0" w:rsidP="00D4456A">
            <w:pPr>
              <w:spacing w:after="12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Publicly accessible pathways and/or elevators are provided between waterfront walkways and street edges where applicable</w:t>
            </w:r>
          </w:p>
        </w:tc>
        <w:tc>
          <w:tcPr>
            <w:tcW w:w="955" w:type="dxa"/>
            <w:hideMark/>
          </w:tcPr>
          <w:p w14:paraId="2588DCFD" w14:textId="221668B1" w:rsidR="00B35EB0" w:rsidRPr="00130533" w:rsidRDefault="00B35EB0" w:rsidP="00B96C55">
            <w:pPr>
              <w:spacing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0E92A75C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1BFC643C" w14:textId="77777777" w:rsidTr="00D4456A">
        <w:tc>
          <w:tcPr>
            <w:tcW w:w="7227" w:type="dxa"/>
            <w:hideMark/>
          </w:tcPr>
          <w:p w14:paraId="3432F6DF" w14:textId="77777777" w:rsidR="00B35EB0" w:rsidRPr="00130533" w:rsidRDefault="00B35EB0" w:rsidP="00D4456A">
            <w:pPr>
              <w:spacing w:after="12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Pathways have a minimum width of 2.0 m and are designed for universal accessibility where feasible</w:t>
            </w:r>
          </w:p>
        </w:tc>
        <w:tc>
          <w:tcPr>
            <w:tcW w:w="955" w:type="dxa"/>
            <w:hideMark/>
          </w:tcPr>
          <w:p w14:paraId="223593A4" w14:textId="50BB1C6A" w:rsidR="00B35EB0" w:rsidRPr="00130533" w:rsidRDefault="00B35EB0" w:rsidP="00B96C55">
            <w:pPr>
              <w:spacing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7C6DD11E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57C75096" w14:textId="77777777" w:rsidTr="00E01A62">
        <w:tc>
          <w:tcPr>
            <w:tcW w:w="7227" w:type="dxa"/>
            <w:tcBorders>
              <w:bottom w:val="single" w:sz="4" w:space="0" w:color="BFBFBF" w:themeColor="background1" w:themeShade="BF"/>
            </w:tcBorders>
            <w:hideMark/>
          </w:tcPr>
          <w:p w14:paraId="3C9E20D9" w14:textId="77777777" w:rsidR="00B35EB0" w:rsidRPr="00130533" w:rsidRDefault="00B35EB0" w:rsidP="00D4456A">
            <w:pPr>
              <w:spacing w:after="12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Building design integrates First Nations, marine, heritage, and/or waterfront design elements</w:t>
            </w:r>
          </w:p>
        </w:tc>
        <w:tc>
          <w:tcPr>
            <w:tcW w:w="955" w:type="dxa"/>
            <w:hideMark/>
          </w:tcPr>
          <w:p w14:paraId="195EF083" w14:textId="353DE2FE" w:rsidR="00B35EB0" w:rsidRPr="00130533" w:rsidRDefault="00B35EB0" w:rsidP="00B96C55">
            <w:pPr>
              <w:spacing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6A3D9699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560FC9ED" w14:textId="77777777" w:rsidTr="00E01A62">
        <w:tc>
          <w:tcPr>
            <w:tcW w:w="7227" w:type="dxa"/>
            <w:tcBorders>
              <w:bottom w:val="single" w:sz="4" w:space="0" w:color="BFBFBF" w:themeColor="background1" w:themeShade="BF"/>
            </w:tcBorders>
            <w:hideMark/>
          </w:tcPr>
          <w:p w14:paraId="146B5EA4" w14:textId="77777777" w:rsidR="00B35EB0" w:rsidRPr="00130533" w:rsidRDefault="00B35EB0" w:rsidP="00D4456A">
            <w:pPr>
              <w:spacing w:after="12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These design elements are also incorporated into street furniture, landscaping, and/or public art where possible</w:t>
            </w:r>
          </w:p>
        </w:tc>
        <w:tc>
          <w:tcPr>
            <w:tcW w:w="955" w:type="dxa"/>
            <w:tcBorders>
              <w:bottom w:val="single" w:sz="4" w:space="0" w:color="BFBFBF" w:themeColor="background1" w:themeShade="BF"/>
            </w:tcBorders>
            <w:hideMark/>
          </w:tcPr>
          <w:p w14:paraId="761A6C60" w14:textId="077D5AC5" w:rsidR="00B35EB0" w:rsidRPr="00130533" w:rsidRDefault="00B35EB0" w:rsidP="00B96C55">
            <w:pPr>
              <w:spacing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tcBorders>
              <w:bottom w:val="single" w:sz="4" w:space="0" w:color="D1D1D1" w:themeColor="background2" w:themeShade="E6"/>
            </w:tcBorders>
            <w:hideMark/>
          </w:tcPr>
          <w:p w14:paraId="6EBCA4EB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155C05" w:rsidRPr="00130533" w14:paraId="41D50F5D" w14:textId="77777777" w:rsidTr="00E01A62">
        <w:tc>
          <w:tcPr>
            <w:tcW w:w="722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5FE0AD7D" w14:textId="37EB445C" w:rsidR="00BD25C5" w:rsidRPr="00BD25C5" w:rsidRDefault="00BD25C5" w:rsidP="00BD25C5">
            <w:pPr>
              <w:spacing w:after="160" w:line="279" w:lineRule="auto"/>
              <w:rPr>
                <w:rFonts w:ascii="Calibri" w:hAnsi="Calibri" w:cs="Calibri"/>
                <w:b/>
                <w:bCs/>
                <w:lang w:val="en-CA"/>
              </w:rPr>
            </w:pPr>
          </w:p>
        </w:tc>
        <w:tc>
          <w:tcPr>
            <w:tcW w:w="955" w:type="dxa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D1D1D1" w:themeColor="background2" w:themeShade="E6"/>
            </w:tcBorders>
          </w:tcPr>
          <w:p w14:paraId="496C76CA" w14:textId="3CE1D00F" w:rsidR="00BD25C5" w:rsidRPr="00BD25C5" w:rsidRDefault="00BD25C5" w:rsidP="00BD25C5">
            <w:pPr>
              <w:spacing w:after="160" w:line="279" w:lineRule="auto"/>
              <w:rPr>
                <w:rFonts w:ascii="Calibri" w:hAnsi="Calibri" w:cs="Calibri"/>
                <w:b/>
                <w:bCs/>
                <w:lang w:val="en-CA"/>
              </w:rPr>
            </w:pPr>
            <w:r w:rsidRPr="00130533">
              <w:rPr>
                <w:rFonts w:ascii="Calibri" w:hAnsi="Calibri" w:cs="Calibri"/>
                <w:b/>
                <w:bCs/>
                <w:lang w:val="en-CA"/>
              </w:rPr>
              <w:t>Criteria Met?</w:t>
            </w:r>
          </w:p>
        </w:tc>
        <w:tc>
          <w:tcPr>
            <w:tcW w:w="2613" w:type="dxa"/>
            <w:tcBorders>
              <w:top w:val="single" w:sz="4" w:space="0" w:color="D1D1D1" w:themeColor="background2" w:themeShade="E6"/>
              <w:left w:val="single" w:sz="4" w:space="0" w:color="D1D1D1" w:themeColor="background2" w:themeShade="E6"/>
              <w:bottom w:val="single" w:sz="4" w:space="0" w:color="D1D1D1" w:themeColor="background2" w:themeShade="E6"/>
              <w:right w:val="single" w:sz="4" w:space="0" w:color="D1D1D1" w:themeColor="background2" w:themeShade="E6"/>
            </w:tcBorders>
          </w:tcPr>
          <w:p w14:paraId="0CE17F15" w14:textId="3DF7AE62" w:rsidR="00BD25C5" w:rsidRPr="00BD25C5" w:rsidRDefault="00BD25C5" w:rsidP="00BD25C5">
            <w:pPr>
              <w:spacing w:after="160" w:line="279" w:lineRule="auto"/>
              <w:rPr>
                <w:rFonts w:ascii="Calibri" w:hAnsi="Calibri" w:cs="Calibri"/>
                <w:b/>
                <w:bCs/>
                <w:lang w:val="en-CA"/>
              </w:rPr>
            </w:pPr>
            <w:r w:rsidRPr="00130533">
              <w:rPr>
                <w:rFonts w:ascii="Calibri" w:hAnsi="Calibri" w:cs="Calibri"/>
                <w:b/>
                <w:bCs/>
                <w:lang w:val="en-CA"/>
              </w:rPr>
              <w:t>Comments / Drawing Reference</w:t>
            </w:r>
          </w:p>
        </w:tc>
      </w:tr>
      <w:tr w:rsidR="001C7AAF" w:rsidRPr="00130533" w14:paraId="337B74CC" w14:textId="77777777" w:rsidTr="00155C05">
        <w:tc>
          <w:tcPr>
            <w:tcW w:w="10795" w:type="dxa"/>
            <w:gridSpan w:val="3"/>
            <w:shd w:val="clear" w:color="auto" w:fill="E8E8E8" w:themeFill="background2"/>
            <w:hideMark/>
          </w:tcPr>
          <w:p w14:paraId="2F6792E7" w14:textId="57EC896E" w:rsidR="001C7AAF" w:rsidRPr="006840FD" w:rsidRDefault="001C7AAF" w:rsidP="00B35EB0">
            <w:pPr>
              <w:spacing w:after="160" w:line="279" w:lineRule="auto"/>
              <w:rPr>
                <w:rFonts w:ascii="Calibri" w:hAnsi="Calibri" w:cs="Calibri"/>
                <w:sz w:val="28"/>
                <w:szCs w:val="28"/>
                <w:lang w:val="en-CA"/>
              </w:rPr>
            </w:pPr>
            <w:r w:rsidRPr="006840FD">
              <w:rPr>
                <w:rFonts w:ascii="Calibri" w:hAnsi="Calibri" w:cs="Calibri"/>
                <w:b/>
                <w:bCs/>
                <w:sz w:val="28"/>
                <w:szCs w:val="28"/>
                <w:lang w:val="en-CA"/>
              </w:rPr>
              <w:t>Building Form and Design</w:t>
            </w:r>
          </w:p>
        </w:tc>
      </w:tr>
      <w:tr w:rsidR="00B35EB0" w:rsidRPr="00130533" w14:paraId="27ECC13F" w14:textId="77777777" w:rsidTr="00D4456A">
        <w:tc>
          <w:tcPr>
            <w:tcW w:w="7227" w:type="dxa"/>
            <w:hideMark/>
          </w:tcPr>
          <w:p w14:paraId="223C7786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Building facades facing principal commercial streets or lanes emphasize the first storey to provide pedestrian-scale design</w:t>
            </w:r>
          </w:p>
        </w:tc>
        <w:tc>
          <w:tcPr>
            <w:tcW w:w="955" w:type="dxa"/>
            <w:hideMark/>
          </w:tcPr>
          <w:p w14:paraId="04C2191D" w14:textId="6F0FF2FB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254A2150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27DDC469" w14:textId="77777777" w:rsidTr="00D4456A">
        <w:tc>
          <w:tcPr>
            <w:tcW w:w="7227" w:type="dxa"/>
            <w:hideMark/>
          </w:tcPr>
          <w:p w14:paraId="40BE56CB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Buildings greater than two storeys include a minimum 3.0 m step-back above the second storey</w:t>
            </w:r>
          </w:p>
        </w:tc>
        <w:tc>
          <w:tcPr>
            <w:tcW w:w="955" w:type="dxa"/>
            <w:hideMark/>
          </w:tcPr>
          <w:p w14:paraId="61147978" w14:textId="51E988F5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6984D49F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4EBA840B" w14:textId="77777777" w:rsidTr="00D4456A">
        <w:tc>
          <w:tcPr>
            <w:tcW w:w="7227" w:type="dxa"/>
            <w:hideMark/>
          </w:tcPr>
          <w:p w14:paraId="01C4B229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Commercial uses facing a street provide all-season weather protection (canopies, awnings, overhangs, vestibules, recessed entrances, etc.)</w:t>
            </w:r>
          </w:p>
        </w:tc>
        <w:tc>
          <w:tcPr>
            <w:tcW w:w="955" w:type="dxa"/>
            <w:hideMark/>
          </w:tcPr>
          <w:p w14:paraId="71F38357" w14:textId="07380FED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2602A682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48D2FBD0" w14:textId="77777777" w:rsidTr="00D4456A">
        <w:tc>
          <w:tcPr>
            <w:tcW w:w="7227" w:type="dxa"/>
            <w:hideMark/>
          </w:tcPr>
          <w:p w14:paraId="64688A63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Unobstructed view corridors (minimum 3.0 m wide) are provided at least every 30.0 m to maintain ocean views</w:t>
            </w:r>
          </w:p>
        </w:tc>
        <w:tc>
          <w:tcPr>
            <w:tcW w:w="955" w:type="dxa"/>
            <w:hideMark/>
          </w:tcPr>
          <w:p w14:paraId="1991E37D" w14:textId="0CC7A050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0CD0FEFE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44AF09D1" w14:textId="77777777" w:rsidTr="00D4456A">
        <w:tc>
          <w:tcPr>
            <w:tcW w:w="7227" w:type="dxa"/>
            <w:hideMark/>
          </w:tcPr>
          <w:p w14:paraId="6113347A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Building longitudinal axis does not exceed 30.0 m in length when measured at or above 1.0 m above natural grade along Gower Point Road</w:t>
            </w:r>
          </w:p>
        </w:tc>
        <w:tc>
          <w:tcPr>
            <w:tcW w:w="955" w:type="dxa"/>
            <w:hideMark/>
          </w:tcPr>
          <w:p w14:paraId="38D104F6" w14:textId="615DCCCA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45B826A3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3B3EEFC7" w14:textId="77777777" w:rsidTr="00D4456A">
        <w:tc>
          <w:tcPr>
            <w:tcW w:w="7227" w:type="dxa"/>
            <w:hideMark/>
          </w:tcPr>
          <w:p w14:paraId="0A185F29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Building massing steps with the natural grade of the land</w:t>
            </w:r>
          </w:p>
        </w:tc>
        <w:tc>
          <w:tcPr>
            <w:tcW w:w="955" w:type="dxa"/>
            <w:hideMark/>
          </w:tcPr>
          <w:p w14:paraId="64075F44" w14:textId="66865645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09DE9676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175D0C6E" w14:textId="77777777" w:rsidTr="00D4456A">
        <w:tc>
          <w:tcPr>
            <w:tcW w:w="7227" w:type="dxa"/>
            <w:hideMark/>
          </w:tcPr>
          <w:p w14:paraId="788186FF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Varied roof heights are provided to create interest in the roofscape and skyline</w:t>
            </w:r>
          </w:p>
        </w:tc>
        <w:tc>
          <w:tcPr>
            <w:tcW w:w="955" w:type="dxa"/>
            <w:hideMark/>
          </w:tcPr>
          <w:p w14:paraId="1C24DF72" w14:textId="4AA87CB1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4D9CE72A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479F4907" w14:textId="77777777" w:rsidTr="00D4456A">
        <w:tc>
          <w:tcPr>
            <w:tcW w:w="7227" w:type="dxa"/>
            <w:hideMark/>
          </w:tcPr>
          <w:p w14:paraId="67B28717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Street and waterfront elevations are articulated into smaller building sections</w:t>
            </w:r>
          </w:p>
        </w:tc>
        <w:tc>
          <w:tcPr>
            <w:tcW w:w="955" w:type="dxa"/>
            <w:hideMark/>
          </w:tcPr>
          <w:p w14:paraId="46F560DC" w14:textId="3CC47428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4E91BA27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1B10000E" w14:textId="77777777" w:rsidTr="00D4456A">
        <w:tc>
          <w:tcPr>
            <w:tcW w:w="7227" w:type="dxa"/>
            <w:hideMark/>
          </w:tcPr>
          <w:p w14:paraId="44C169BC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New development or renovations reflect the form and character of the surrounding neighbourhood</w:t>
            </w:r>
          </w:p>
        </w:tc>
        <w:tc>
          <w:tcPr>
            <w:tcW w:w="955" w:type="dxa"/>
            <w:hideMark/>
          </w:tcPr>
          <w:p w14:paraId="4B02231E" w14:textId="57A904E9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2C0A1D3A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1D985E24" w14:textId="77777777" w:rsidTr="00D4456A">
        <w:tc>
          <w:tcPr>
            <w:tcW w:w="7227" w:type="dxa"/>
            <w:hideMark/>
          </w:tcPr>
          <w:p w14:paraId="4FDEE596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Historical elements of the building or property are respected and preserved where possible</w:t>
            </w:r>
          </w:p>
        </w:tc>
        <w:tc>
          <w:tcPr>
            <w:tcW w:w="955" w:type="dxa"/>
            <w:hideMark/>
          </w:tcPr>
          <w:p w14:paraId="351A96CA" w14:textId="0A2E4B72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5817A16B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1C7AAF" w:rsidRPr="00130533" w14:paraId="6ECB019B" w14:textId="77777777" w:rsidTr="00D4456A">
        <w:tc>
          <w:tcPr>
            <w:tcW w:w="10795" w:type="dxa"/>
            <w:gridSpan w:val="3"/>
            <w:hideMark/>
          </w:tcPr>
          <w:p w14:paraId="1AACB5E6" w14:textId="3251A4A2" w:rsidR="001C7AAF" w:rsidRPr="006840FD" w:rsidRDefault="001C7AAF" w:rsidP="00B35EB0">
            <w:pPr>
              <w:spacing w:after="160" w:line="279" w:lineRule="auto"/>
              <w:rPr>
                <w:rFonts w:ascii="Calibri" w:hAnsi="Calibri" w:cs="Calibri"/>
                <w:sz w:val="28"/>
                <w:szCs w:val="28"/>
                <w:lang w:val="en-CA"/>
              </w:rPr>
            </w:pPr>
            <w:r w:rsidRPr="006840FD">
              <w:rPr>
                <w:rFonts w:ascii="Calibri" w:hAnsi="Calibri" w:cs="Calibri"/>
                <w:b/>
                <w:bCs/>
                <w:sz w:val="28"/>
                <w:szCs w:val="28"/>
                <w:lang w:val="en-CA"/>
              </w:rPr>
              <w:t>Transitions – Fencing and Landscaping</w:t>
            </w:r>
          </w:p>
        </w:tc>
      </w:tr>
      <w:tr w:rsidR="00B35EB0" w:rsidRPr="00130533" w14:paraId="4F78373A" w14:textId="77777777" w:rsidTr="00D4456A">
        <w:tc>
          <w:tcPr>
            <w:tcW w:w="7227" w:type="dxa"/>
            <w:hideMark/>
          </w:tcPr>
          <w:p w14:paraId="7D099B54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Transitions between the waterfront walkway and adjoining properties emphasize landscape elements</w:t>
            </w:r>
          </w:p>
        </w:tc>
        <w:tc>
          <w:tcPr>
            <w:tcW w:w="955" w:type="dxa"/>
            <w:hideMark/>
          </w:tcPr>
          <w:p w14:paraId="7498E7D0" w14:textId="2D10FE00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290211F9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074B15D1" w14:textId="77777777" w:rsidTr="00D4456A">
        <w:tc>
          <w:tcPr>
            <w:tcW w:w="7227" w:type="dxa"/>
            <w:hideMark/>
          </w:tcPr>
          <w:p w14:paraId="51EB87A2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Marine shoreline landscaping is reviewed by a Qualified Environmental Professional and complies with the ESA DPA</w:t>
            </w:r>
          </w:p>
        </w:tc>
        <w:tc>
          <w:tcPr>
            <w:tcW w:w="955" w:type="dxa"/>
            <w:hideMark/>
          </w:tcPr>
          <w:p w14:paraId="53BF2A57" w14:textId="7FED1891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67C8394C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447D99C0" w14:textId="77777777" w:rsidTr="00155C05">
        <w:tc>
          <w:tcPr>
            <w:tcW w:w="7227" w:type="dxa"/>
            <w:tcBorders>
              <w:bottom w:val="single" w:sz="4" w:space="0" w:color="BFBFBF" w:themeColor="background1" w:themeShade="BF"/>
            </w:tcBorders>
            <w:hideMark/>
          </w:tcPr>
          <w:p w14:paraId="6690BA68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Fencing does not exceed 1.2 m in height and is supplemented with plant material</w:t>
            </w:r>
          </w:p>
        </w:tc>
        <w:tc>
          <w:tcPr>
            <w:tcW w:w="955" w:type="dxa"/>
            <w:hideMark/>
          </w:tcPr>
          <w:p w14:paraId="594C0C8F" w14:textId="45D47952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558AAF8D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6300F752" w14:textId="77777777" w:rsidTr="00944ADA">
        <w:tc>
          <w:tcPr>
            <w:tcW w:w="7227" w:type="dxa"/>
            <w:tcBorders>
              <w:bottom w:val="single" w:sz="4" w:space="0" w:color="BFBFBF" w:themeColor="background1" w:themeShade="BF"/>
            </w:tcBorders>
            <w:hideMark/>
          </w:tcPr>
          <w:p w14:paraId="21803950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Landscaping consists primarily of local indigenous plant species</w:t>
            </w:r>
          </w:p>
        </w:tc>
        <w:tc>
          <w:tcPr>
            <w:tcW w:w="955" w:type="dxa"/>
            <w:tcBorders>
              <w:bottom w:val="single" w:sz="4" w:space="0" w:color="BFBFBF" w:themeColor="background1" w:themeShade="BF"/>
            </w:tcBorders>
            <w:hideMark/>
          </w:tcPr>
          <w:p w14:paraId="4F236E61" w14:textId="033F285E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1D4E618C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D25C5" w:rsidRPr="00130533" w14:paraId="0AC29CB8" w14:textId="77777777" w:rsidTr="00944ADA">
        <w:tc>
          <w:tcPr>
            <w:tcW w:w="7227" w:type="dxa"/>
            <w:tcBorders>
              <w:top w:val="single" w:sz="4" w:space="0" w:color="BFBFBF" w:themeColor="background1" w:themeShade="BF"/>
              <w:left w:val="nil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</w:tcPr>
          <w:p w14:paraId="2AC1C19C" w14:textId="27D32BD3" w:rsidR="00BD25C5" w:rsidRPr="00130533" w:rsidRDefault="00762650" w:rsidP="00BD25C5">
            <w:pPr>
              <w:rPr>
                <w:rFonts w:ascii="Calibri" w:hAnsi="Calibri" w:cs="Calibri"/>
                <w:lang w:val="en-CA"/>
              </w:rPr>
            </w:pPr>
            <w:r>
              <w:lastRenderedPageBreak/>
              <w:br w:type="page"/>
            </w:r>
          </w:p>
        </w:tc>
        <w:tc>
          <w:tcPr>
            <w:tcW w:w="955" w:type="dxa"/>
            <w:tcBorders>
              <w:left w:val="single" w:sz="4" w:space="0" w:color="BFBFBF" w:themeColor="background1" w:themeShade="BF"/>
            </w:tcBorders>
          </w:tcPr>
          <w:p w14:paraId="662D3F88" w14:textId="68045943" w:rsidR="00BD25C5" w:rsidRPr="00130533" w:rsidRDefault="00BD25C5" w:rsidP="00BD25C5">
            <w:pPr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b/>
                <w:bCs/>
                <w:lang w:val="en-CA"/>
              </w:rPr>
              <w:t>Criteria Met?</w:t>
            </w:r>
          </w:p>
        </w:tc>
        <w:tc>
          <w:tcPr>
            <w:tcW w:w="2613" w:type="dxa"/>
          </w:tcPr>
          <w:p w14:paraId="70EB37A5" w14:textId="09E15BCD" w:rsidR="00BD25C5" w:rsidRPr="00130533" w:rsidRDefault="00BD25C5" w:rsidP="00BD25C5">
            <w:pPr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b/>
                <w:bCs/>
                <w:lang w:val="en-CA"/>
              </w:rPr>
              <w:t>Comments / Drawing Reference</w:t>
            </w:r>
          </w:p>
        </w:tc>
      </w:tr>
      <w:tr w:rsidR="00B35EB0" w:rsidRPr="00130533" w14:paraId="1D0AA4F3" w14:textId="77777777" w:rsidTr="00E01A62">
        <w:tc>
          <w:tcPr>
            <w:tcW w:w="7227" w:type="dxa"/>
            <w:tcBorders>
              <w:top w:val="single" w:sz="4" w:space="0" w:color="BFBFBF" w:themeColor="background1" w:themeShade="BF"/>
            </w:tcBorders>
            <w:hideMark/>
          </w:tcPr>
          <w:p w14:paraId="371CFF39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Large areas of non-vegetative materials (e.g., gravel, bark, mulch) are not used</w:t>
            </w:r>
          </w:p>
        </w:tc>
        <w:tc>
          <w:tcPr>
            <w:tcW w:w="955" w:type="dxa"/>
            <w:hideMark/>
          </w:tcPr>
          <w:p w14:paraId="6E77FFE7" w14:textId="2239E93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0CA124BA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6D24F529" w14:textId="77777777" w:rsidTr="00D4456A">
        <w:tc>
          <w:tcPr>
            <w:tcW w:w="7227" w:type="dxa"/>
            <w:hideMark/>
          </w:tcPr>
          <w:p w14:paraId="3C66CCA7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Outdoor storage areas, mechanical equipment, waste containers, and parking areas are screened from view</w:t>
            </w:r>
          </w:p>
        </w:tc>
        <w:tc>
          <w:tcPr>
            <w:tcW w:w="955" w:type="dxa"/>
            <w:hideMark/>
          </w:tcPr>
          <w:p w14:paraId="4EC5FC5B" w14:textId="22B4ACA3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1C6F1929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683FA469" w14:textId="77777777" w:rsidTr="00D4456A">
        <w:tc>
          <w:tcPr>
            <w:tcW w:w="7227" w:type="dxa"/>
            <w:hideMark/>
          </w:tcPr>
          <w:p w14:paraId="3DDE19BC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Planted trellises are incorporated into non-vegetative screening where possible</w:t>
            </w:r>
          </w:p>
        </w:tc>
        <w:tc>
          <w:tcPr>
            <w:tcW w:w="955" w:type="dxa"/>
            <w:hideMark/>
          </w:tcPr>
          <w:p w14:paraId="0C8E143F" w14:textId="084FB1E6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41AB6B49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1D7CF054" w14:textId="77777777" w:rsidTr="00D4456A">
        <w:tc>
          <w:tcPr>
            <w:tcW w:w="7227" w:type="dxa"/>
            <w:hideMark/>
          </w:tcPr>
          <w:p w14:paraId="6C9348A0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Buildings and landscaping follow natural site contours and incorporate terraced forms where appropriate</w:t>
            </w:r>
          </w:p>
        </w:tc>
        <w:tc>
          <w:tcPr>
            <w:tcW w:w="955" w:type="dxa"/>
            <w:hideMark/>
          </w:tcPr>
          <w:p w14:paraId="69562552" w14:textId="74687F5F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28E2BD17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3A68EB89" w14:textId="77777777" w:rsidTr="00D4456A">
        <w:tc>
          <w:tcPr>
            <w:tcW w:w="7227" w:type="dxa"/>
            <w:hideMark/>
          </w:tcPr>
          <w:p w14:paraId="5D1C793E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Retaining walls are integrated as design features (e.g., walkways, steps, planted habitat, gardens, viewing areas)</w:t>
            </w:r>
          </w:p>
        </w:tc>
        <w:tc>
          <w:tcPr>
            <w:tcW w:w="955" w:type="dxa"/>
            <w:hideMark/>
          </w:tcPr>
          <w:p w14:paraId="2864183E" w14:textId="67EB4FE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2302B866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1C7AAF" w:rsidRPr="00130533" w14:paraId="054ED004" w14:textId="77777777" w:rsidTr="00D4456A">
        <w:tc>
          <w:tcPr>
            <w:tcW w:w="10795" w:type="dxa"/>
            <w:gridSpan w:val="3"/>
            <w:hideMark/>
          </w:tcPr>
          <w:p w14:paraId="60DFD081" w14:textId="251D4D06" w:rsidR="001C7AAF" w:rsidRPr="006840FD" w:rsidRDefault="001C7AAF" w:rsidP="00BD25C5">
            <w:pPr>
              <w:spacing w:after="120" w:line="278" w:lineRule="auto"/>
              <w:rPr>
                <w:rFonts w:ascii="Calibri" w:hAnsi="Calibri" w:cs="Calibri"/>
                <w:sz w:val="28"/>
                <w:szCs w:val="28"/>
                <w:lang w:val="en-CA"/>
              </w:rPr>
            </w:pPr>
            <w:r w:rsidRPr="006840FD">
              <w:rPr>
                <w:rFonts w:ascii="Calibri" w:hAnsi="Calibri" w:cs="Calibri"/>
                <w:b/>
                <w:bCs/>
                <w:sz w:val="28"/>
                <w:szCs w:val="28"/>
                <w:lang w:val="en-CA"/>
              </w:rPr>
              <w:t>Architectural Features</w:t>
            </w:r>
          </w:p>
        </w:tc>
      </w:tr>
      <w:tr w:rsidR="00B35EB0" w:rsidRPr="00130533" w14:paraId="2FFAC1F7" w14:textId="77777777" w:rsidTr="00D4456A">
        <w:tc>
          <w:tcPr>
            <w:tcW w:w="7227" w:type="dxa"/>
            <w:hideMark/>
          </w:tcPr>
          <w:p w14:paraId="3B8ED330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New commercial and mixed-use buildings emphasize individual storefronts and fine-grained facade rhythms</w:t>
            </w:r>
          </w:p>
        </w:tc>
        <w:tc>
          <w:tcPr>
            <w:tcW w:w="955" w:type="dxa"/>
            <w:hideMark/>
          </w:tcPr>
          <w:p w14:paraId="7148B8F1" w14:textId="49653C71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0DEBF3F5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5080C64B" w14:textId="77777777" w:rsidTr="00D4456A">
        <w:tc>
          <w:tcPr>
            <w:tcW w:w="7227" w:type="dxa"/>
            <w:hideMark/>
          </w:tcPr>
          <w:p w14:paraId="41EFF0E7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Facade widths and rhythms are consistent with surrounding buildings</w:t>
            </w:r>
          </w:p>
        </w:tc>
        <w:tc>
          <w:tcPr>
            <w:tcW w:w="955" w:type="dxa"/>
            <w:hideMark/>
          </w:tcPr>
          <w:p w14:paraId="2CF9B565" w14:textId="4BCC87A1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02B0B79D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677DA2BC" w14:textId="77777777" w:rsidTr="00D4456A">
        <w:tc>
          <w:tcPr>
            <w:tcW w:w="7227" w:type="dxa"/>
            <w:hideMark/>
          </w:tcPr>
          <w:p w14:paraId="7744174B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Bright and playful colours are incorporated where appropriate to enhance vibrancy</w:t>
            </w:r>
          </w:p>
        </w:tc>
        <w:tc>
          <w:tcPr>
            <w:tcW w:w="955" w:type="dxa"/>
            <w:hideMark/>
          </w:tcPr>
          <w:p w14:paraId="0A3E863F" w14:textId="007BF765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1BB0C4E1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0AD9F605" w14:textId="77777777" w:rsidTr="00D4456A">
        <w:tc>
          <w:tcPr>
            <w:tcW w:w="7227" w:type="dxa"/>
            <w:hideMark/>
          </w:tcPr>
          <w:p w14:paraId="59D8EC93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Projected window bays are incorporated where feasible</w:t>
            </w:r>
          </w:p>
        </w:tc>
        <w:tc>
          <w:tcPr>
            <w:tcW w:w="955" w:type="dxa"/>
            <w:hideMark/>
          </w:tcPr>
          <w:p w14:paraId="71F89AEA" w14:textId="2ECE913E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695C0934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053055E3" w14:textId="77777777" w:rsidTr="00D4456A">
        <w:tc>
          <w:tcPr>
            <w:tcW w:w="7227" w:type="dxa"/>
            <w:hideMark/>
          </w:tcPr>
          <w:p w14:paraId="66BFE765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Side-wall windows visible from the street are provided where permitted by code</w:t>
            </w:r>
          </w:p>
        </w:tc>
        <w:tc>
          <w:tcPr>
            <w:tcW w:w="955" w:type="dxa"/>
            <w:hideMark/>
          </w:tcPr>
          <w:p w14:paraId="6B1CF5C4" w14:textId="45A6D02A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510D4581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20D2C1E0" w14:textId="77777777" w:rsidTr="00D4456A">
        <w:tc>
          <w:tcPr>
            <w:tcW w:w="7227" w:type="dxa"/>
            <w:hideMark/>
          </w:tcPr>
          <w:p w14:paraId="2A5B87C9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Artistic banners and flags (without logos or advertising) are used to activate the streetscape</w:t>
            </w:r>
          </w:p>
        </w:tc>
        <w:tc>
          <w:tcPr>
            <w:tcW w:w="955" w:type="dxa"/>
            <w:hideMark/>
          </w:tcPr>
          <w:p w14:paraId="1474E4D7" w14:textId="2B8CBC0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637BD622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1C7AAF" w:rsidRPr="00130533" w14:paraId="042068CA" w14:textId="77777777" w:rsidTr="00D4456A">
        <w:tc>
          <w:tcPr>
            <w:tcW w:w="10795" w:type="dxa"/>
            <w:gridSpan w:val="3"/>
            <w:hideMark/>
          </w:tcPr>
          <w:p w14:paraId="22ADE46A" w14:textId="4C17046A" w:rsidR="001C7AAF" w:rsidRPr="006840FD" w:rsidRDefault="001C7AAF" w:rsidP="00BD25C5">
            <w:pPr>
              <w:spacing w:after="120" w:line="278" w:lineRule="auto"/>
              <w:rPr>
                <w:rFonts w:ascii="Calibri" w:hAnsi="Calibri" w:cs="Calibri"/>
                <w:sz w:val="28"/>
                <w:szCs w:val="28"/>
                <w:lang w:val="en-CA"/>
              </w:rPr>
            </w:pPr>
            <w:r w:rsidRPr="006840FD">
              <w:rPr>
                <w:rFonts w:ascii="Calibri" w:hAnsi="Calibri" w:cs="Calibri"/>
                <w:b/>
                <w:bCs/>
                <w:sz w:val="28"/>
                <w:szCs w:val="28"/>
                <w:lang w:val="en-CA"/>
              </w:rPr>
              <w:t>Signage</w:t>
            </w:r>
          </w:p>
        </w:tc>
      </w:tr>
      <w:tr w:rsidR="00B35EB0" w:rsidRPr="00130533" w14:paraId="7CE1C386" w14:textId="77777777" w:rsidTr="00D4456A">
        <w:tc>
          <w:tcPr>
            <w:tcW w:w="7227" w:type="dxa"/>
            <w:hideMark/>
          </w:tcPr>
          <w:p w14:paraId="6A60BC49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Signage is scaled, oriented, and sited for pedestrian visibility</w:t>
            </w:r>
          </w:p>
        </w:tc>
        <w:tc>
          <w:tcPr>
            <w:tcW w:w="955" w:type="dxa"/>
            <w:hideMark/>
          </w:tcPr>
          <w:p w14:paraId="1C24317C" w14:textId="511635C1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338B2A47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133762CC" w14:textId="77777777" w:rsidTr="00D4456A">
        <w:tc>
          <w:tcPr>
            <w:tcW w:w="7227" w:type="dxa"/>
            <w:hideMark/>
          </w:tcPr>
          <w:p w14:paraId="7C16F4CC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Signage is architecturally coordinated with building design, features, and finishes</w:t>
            </w:r>
          </w:p>
        </w:tc>
        <w:tc>
          <w:tcPr>
            <w:tcW w:w="955" w:type="dxa"/>
            <w:hideMark/>
          </w:tcPr>
          <w:p w14:paraId="17BA1F89" w14:textId="5C190574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5A589420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60756A02" w14:textId="77777777" w:rsidTr="00D4456A">
        <w:tc>
          <w:tcPr>
            <w:tcW w:w="7227" w:type="dxa"/>
            <w:hideMark/>
          </w:tcPr>
          <w:p w14:paraId="4ED5F769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Signage is integrated into architectural elements (canopies, awnings, pediments, windows, or landscaped frontages)</w:t>
            </w:r>
          </w:p>
        </w:tc>
        <w:tc>
          <w:tcPr>
            <w:tcW w:w="955" w:type="dxa"/>
            <w:hideMark/>
          </w:tcPr>
          <w:p w14:paraId="0181660B" w14:textId="46F312E6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5C3460E0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588F8B48" w14:textId="77777777" w:rsidTr="00D4456A">
        <w:tc>
          <w:tcPr>
            <w:tcW w:w="7227" w:type="dxa"/>
            <w:hideMark/>
          </w:tcPr>
          <w:p w14:paraId="1370C4F7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Timber or wood-look materials and metal are used for signage</w:t>
            </w:r>
          </w:p>
        </w:tc>
        <w:tc>
          <w:tcPr>
            <w:tcW w:w="955" w:type="dxa"/>
            <w:hideMark/>
          </w:tcPr>
          <w:p w14:paraId="68410355" w14:textId="7628E0A3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2129B849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57E7C228" w14:textId="77777777" w:rsidTr="00D4456A">
        <w:tc>
          <w:tcPr>
            <w:tcW w:w="7227" w:type="dxa"/>
            <w:hideMark/>
          </w:tcPr>
          <w:p w14:paraId="15DF1CEE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Individual carved and/or hand-painted signs are used where possible</w:t>
            </w:r>
          </w:p>
        </w:tc>
        <w:tc>
          <w:tcPr>
            <w:tcW w:w="955" w:type="dxa"/>
            <w:hideMark/>
          </w:tcPr>
          <w:p w14:paraId="2B658CC9" w14:textId="193EBA50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71D6C8F1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1AE71680" w14:textId="77777777" w:rsidTr="00D4456A">
        <w:tc>
          <w:tcPr>
            <w:tcW w:w="7227" w:type="dxa"/>
            <w:hideMark/>
          </w:tcPr>
          <w:p w14:paraId="71105511" w14:textId="77777777" w:rsidR="00B35EB0" w:rsidRPr="00130533" w:rsidRDefault="00B35EB0" w:rsidP="00BD25C5">
            <w:pPr>
              <w:spacing w:after="120" w:line="278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Signage is externally illuminated only (no internal illumination)</w:t>
            </w:r>
          </w:p>
        </w:tc>
        <w:tc>
          <w:tcPr>
            <w:tcW w:w="955" w:type="dxa"/>
            <w:hideMark/>
          </w:tcPr>
          <w:p w14:paraId="1A9C5388" w14:textId="167E5486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3" w:type="dxa"/>
            <w:hideMark/>
          </w:tcPr>
          <w:p w14:paraId="7A3D40AD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155C05" w:rsidRPr="00130533" w14:paraId="3C4EC462" w14:textId="77777777" w:rsidTr="00155C05">
        <w:tc>
          <w:tcPr>
            <w:tcW w:w="7223" w:type="dxa"/>
            <w:tcBorders>
              <w:top w:val="nil"/>
              <w:left w:val="nil"/>
              <w:bottom w:val="nil"/>
              <w:right w:val="single" w:sz="4" w:space="0" w:color="BFBFBF" w:themeColor="background1" w:themeShade="BF"/>
            </w:tcBorders>
          </w:tcPr>
          <w:p w14:paraId="703B1ABD" w14:textId="77777777" w:rsidR="00155C05" w:rsidRPr="006840FD" w:rsidRDefault="00155C05" w:rsidP="00155C05">
            <w:pPr>
              <w:rPr>
                <w:rFonts w:ascii="Calibri" w:hAnsi="Calibri" w:cs="Calibri"/>
                <w:b/>
                <w:bCs/>
                <w:sz w:val="28"/>
                <w:szCs w:val="28"/>
                <w:lang w:val="en-CA"/>
              </w:rPr>
            </w:pPr>
          </w:p>
        </w:tc>
        <w:tc>
          <w:tcPr>
            <w:tcW w:w="955" w:type="dxa"/>
            <w:tcBorders>
              <w:left w:val="single" w:sz="4" w:space="0" w:color="BFBFBF" w:themeColor="background1" w:themeShade="BF"/>
            </w:tcBorders>
          </w:tcPr>
          <w:p w14:paraId="267DAD56" w14:textId="30ABE8B3" w:rsidR="00155C05" w:rsidRPr="006840FD" w:rsidRDefault="00155C05" w:rsidP="00155C05">
            <w:pPr>
              <w:rPr>
                <w:rFonts w:ascii="Calibri" w:hAnsi="Calibri" w:cs="Calibri"/>
                <w:b/>
                <w:bCs/>
                <w:sz w:val="28"/>
                <w:szCs w:val="28"/>
                <w:lang w:val="en-CA"/>
              </w:rPr>
            </w:pPr>
            <w:r w:rsidRPr="00130533">
              <w:rPr>
                <w:rFonts w:ascii="Calibri" w:hAnsi="Calibri" w:cs="Calibri"/>
                <w:b/>
                <w:bCs/>
                <w:lang w:val="en-CA"/>
              </w:rPr>
              <w:t>Criteria Met?</w:t>
            </w:r>
          </w:p>
        </w:tc>
        <w:tc>
          <w:tcPr>
            <w:tcW w:w="2612" w:type="dxa"/>
          </w:tcPr>
          <w:p w14:paraId="17F565CA" w14:textId="4E0AF4DE" w:rsidR="00155C05" w:rsidRPr="006840FD" w:rsidRDefault="00155C05" w:rsidP="00155C05">
            <w:pPr>
              <w:rPr>
                <w:rFonts w:ascii="Calibri" w:hAnsi="Calibri" w:cs="Calibri"/>
                <w:b/>
                <w:bCs/>
                <w:sz w:val="28"/>
                <w:szCs w:val="28"/>
                <w:lang w:val="en-CA"/>
              </w:rPr>
            </w:pPr>
            <w:r w:rsidRPr="00130533">
              <w:rPr>
                <w:rFonts w:ascii="Calibri" w:hAnsi="Calibri" w:cs="Calibri"/>
                <w:b/>
                <w:bCs/>
                <w:lang w:val="en-CA"/>
              </w:rPr>
              <w:t>Comments / Drawing Reference</w:t>
            </w:r>
          </w:p>
        </w:tc>
      </w:tr>
      <w:tr w:rsidR="001C7AAF" w:rsidRPr="00130533" w14:paraId="35CBB7A6" w14:textId="77777777" w:rsidTr="00155C05">
        <w:tc>
          <w:tcPr>
            <w:tcW w:w="10790" w:type="dxa"/>
            <w:gridSpan w:val="3"/>
            <w:hideMark/>
          </w:tcPr>
          <w:p w14:paraId="316CCB9B" w14:textId="25AE62F8" w:rsidR="001C7AAF" w:rsidRPr="006840FD" w:rsidRDefault="001C7AAF" w:rsidP="00B35EB0">
            <w:pPr>
              <w:spacing w:after="160" w:line="279" w:lineRule="auto"/>
              <w:rPr>
                <w:rFonts w:ascii="Calibri" w:hAnsi="Calibri" w:cs="Calibri"/>
                <w:sz w:val="28"/>
                <w:szCs w:val="28"/>
                <w:lang w:val="en-CA"/>
              </w:rPr>
            </w:pPr>
            <w:r w:rsidRPr="006840FD">
              <w:rPr>
                <w:rFonts w:ascii="Calibri" w:hAnsi="Calibri" w:cs="Calibri"/>
                <w:b/>
                <w:bCs/>
                <w:sz w:val="28"/>
                <w:szCs w:val="28"/>
                <w:lang w:val="en-CA"/>
              </w:rPr>
              <w:t>Parking</w:t>
            </w:r>
          </w:p>
        </w:tc>
      </w:tr>
      <w:tr w:rsidR="00B35EB0" w:rsidRPr="00130533" w14:paraId="14DB3A4E" w14:textId="77777777" w:rsidTr="00155C05">
        <w:tc>
          <w:tcPr>
            <w:tcW w:w="7223" w:type="dxa"/>
            <w:hideMark/>
          </w:tcPr>
          <w:p w14:paraId="635139F0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Off-street parking is located underground wherever feasible</w:t>
            </w:r>
          </w:p>
        </w:tc>
        <w:tc>
          <w:tcPr>
            <w:tcW w:w="955" w:type="dxa"/>
            <w:hideMark/>
          </w:tcPr>
          <w:p w14:paraId="3E2895D6" w14:textId="28FC4F01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2" w:type="dxa"/>
            <w:hideMark/>
          </w:tcPr>
          <w:p w14:paraId="360910EE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526B2F85" w14:textId="77777777" w:rsidTr="00155C05">
        <w:tc>
          <w:tcPr>
            <w:tcW w:w="7223" w:type="dxa"/>
            <w:hideMark/>
          </w:tcPr>
          <w:p w14:paraId="39586C85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Where surface parking is necessary, it is internal to the development and screened from public view</w:t>
            </w:r>
          </w:p>
        </w:tc>
        <w:tc>
          <w:tcPr>
            <w:tcW w:w="955" w:type="dxa"/>
            <w:hideMark/>
          </w:tcPr>
          <w:p w14:paraId="10480E46" w14:textId="726F9D53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2" w:type="dxa"/>
            <w:hideMark/>
          </w:tcPr>
          <w:p w14:paraId="375852BF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36FB04BF" w14:textId="77777777" w:rsidTr="00155C05">
        <w:tc>
          <w:tcPr>
            <w:tcW w:w="7223" w:type="dxa"/>
            <w:hideMark/>
          </w:tcPr>
          <w:p w14:paraId="750ADBC0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Screening includes walls, fencing, hedging, planting, or a combination of these materials</w:t>
            </w:r>
          </w:p>
        </w:tc>
        <w:tc>
          <w:tcPr>
            <w:tcW w:w="955" w:type="dxa"/>
            <w:hideMark/>
          </w:tcPr>
          <w:p w14:paraId="3C9D5E2B" w14:textId="3EF36054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2" w:type="dxa"/>
            <w:hideMark/>
          </w:tcPr>
          <w:p w14:paraId="7C32768D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  <w:tr w:rsidR="00B35EB0" w:rsidRPr="00130533" w14:paraId="39580D4B" w14:textId="77777777" w:rsidTr="00155C05">
        <w:tc>
          <w:tcPr>
            <w:tcW w:w="7223" w:type="dxa"/>
            <w:hideMark/>
          </w:tcPr>
          <w:p w14:paraId="56F1E13C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  <w:r w:rsidRPr="00130533">
              <w:rPr>
                <w:rFonts w:ascii="Calibri" w:hAnsi="Calibri" w:cs="Calibri"/>
                <w:lang w:val="en-CA"/>
              </w:rPr>
              <w:t>Parking areas and access roads include adequate pedestrian-scale lighting</w:t>
            </w:r>
          </w:p>
        </w:tc>
        <w:tc>
          <w:tcPr>
            <w:tcW w:w="955" w:type="dxa"/>
            <w:hideMark/>
          </w:tcPr>
          <w:p w14:paraId="185AB070" w14:textId="19C35501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  <w:tc>
          <w:tcPr>
            <w:tcW w:w="2612" w:type="dxa"/>
            <w:hideMark/>
          </w:tcPr>
          <w:p w14:paraId="6A2F72E8" w14:textId="77777777" w:rsidR="00B35EB0" w:rsidRPr="00130533" w:rsidRDefault="00B35EB0" w:rsidP="00B35EB0">
            <w:pPr>
              <w:spacing w:after="160" w:line="279" w:lineRule="auto"/>
              <w:rPr>
                <w:rFonts w:ascii="Calibri" w:hAnsi="Calibri" w:cs="Calibri"/>
                <w:lang w:val="en-CA"/>
              </w:rPr>
            </w:pPr>
          </w:p>
        </w:tc>
      </w:tr>
    </w:tbl>
    <w:p w14:paraId="2C078E63" w14:textId="77777777" w:rsidR="00521258" w:rsidRPr="00130533" w:rsidRDefault="00521258">
      <w:pPr>
        <w:rPr>
          <w:rFonts w:ascii="Calibri" w:hAnsi="Calibri" w:cs="Calibri"/>
        </w:rPr>
      </w:pPr>
    </w:p>
    <w:sectPr w:rsidR="00521258" w:rsidRPr="00130533" w:rsidSect="0085620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54C793" w14:textId="77777777" w:rsidR="00E71216" w:rsidRDefault="00E71216" w:rsidP="001F1D3F">
      <w:pPr>
        <w:spacing w:after="0" w:line="240" w:lineRule="auto"/>
      </w:pPr>
      <w:r>
        <w:separator/>
      </w:r>
    </w:p>
  </w:endnote>
  <w:endnote w:type="continuationSeparator" w:id="0">
    <w:p w14:paraId="24F4C525" w14:textId="77777777" w:rsidR="00E71216" w:rsidRDefault="00E71216" w:rsidP="001F1D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A38787" w14:textId="77777777" w:rsidR="001F1D3F" w:rsidRDefault="001F1D3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F34184" w14:textId="77777777" w:rsidR="001F1D3F" w:rsidRDefault="001F1D3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CA5E5" w14:textId="77777777" w:rsidR="001F1D3F" w:rsidRDefault="001F1D3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94EB5C" w14:textId="77777777" w:rsidR="00E71216" w:rsidRDefault="00E71216" w:rsidP="001F1D3F">
      <w:pPr>
        <w:spacing w:after="0" w:line="240" w:lineRule="auto"/>
      </w:pPr>
      <w:r>
        <w:separator/>
      </w:r>
    </w:p>
  </w:footnote>
  <w:footnote w:type="continuationSeparator" w:id="0">
    <w:p w14:paraId="767FB0CC" w14:textId="77777777" w:rsidR="00E71216" w:rsidRDefault="00E71216" w:rsidP="001F1D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CE14DF" w14:textId="77777777" w:rsidR="001F1D3F" w:rsidRDefault="001F1D3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B0788C" w14:textId="24691851" w:rsidR="001F1D3F" w:rsidRDefault="001F1D3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FB3E7" w14:textId="77777777" w:rsidR="001F1D3F" w:rsidRDefault="001F1D3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80DFBB8"/>
    <w:rsid w:val="000428E2"/>
    <w:rsid w:val="00044872"/>
    <w:rsid w:val="000534FF"/>
    <w:rsid w:val="00070024"/>
    <w:rsid w:val="000807AC"/>
    <w:rsid w:val="00091667"/>
    <w:rsid w:val="000B20EF"/>
    <w:rsid w:val="00130533"/>
    <w:rsid w:val="00130934"/>
    <w:rsid w:val="00155C05"/>
    <w:rsid w:val="001C7A12"/>
    <w:rsid w:val="001C7AAF"/>
    <w:rsid w:val="001F1D3F"/>
    <w:rsid w:val="001F6225"/>
    <w:rsid w:val="00224800"/>
    <w:rsid w:val="00286950"/>
    <w:rsid w:val="002F196E"/>
    <w:rsid w:val="003A37A5"/>
    <w:rsid w:val="003C073A"/>
    <w:rsid w:val="003D6798"/>
    <w:rsid w:val="003E6495"/>
    <w:rsid w:val="003F0962"/>
    <w:rsid w:val="00431E69"/>
    <w:rsid w:val="004330D1"/>
    <w:rsid w:val="0048758C"/>
    <w:rsid w:val="004F793B"/>
    <w:rsid w:val="00516753"/>
    <w:rsid w:val="00521258"/>
    <w:rsid w:val="006840FD"/>
    <w:rsid w:val="007033B6"/>
    <w:rsid w:val="00762650"/>
    <w:rsid w:val="008136E2"/>
    <w:rsid w:val="00832BCA"/>
    <w:rsid w:val="00856202"/>
    <w:rsid w:val="0086117F"/>
    <w:rsid w:val="00870108"/>
    <w:rsid w:val="0088501F"/>
    <w:rsid w:val="00901A32"/>
    <w:rsid w:val="00930E58"/>
    <w:rsid w:val="00944ADA"/>
    <w:rsid w:val="0095595C"/>
    <w:rsid w:val="00A0096D"/>
    <w:rsid w:val="00A22C71"/>
    <w:rsid w:val="00AC4DA9"/>
    <w:rsid w:val="00AC5AEC"/>
    <w:rsid w:val="00AC6732"/>
    <w:rsid w:val="00AE1135"/>
    <w:rsid w:val="00B35EB0"/>
    <w:rsid w:val="00B3695E"/>
    <w:rsid w:val="00B43D2A"/>
    <w:rsid w:val="00B75026"/>
    <w:rsid w:val="00B96C55"/>
    <w:rsid w:val="00BD25C5"/>
    <w:rsid w:val="00C040BD"/>
    <w:rsid w:val="00C23279"/>
    <w:rsid w:val="00C36888"/>
    <w:rsid w:val="00CC3BF4"/>
    <w:rsid w:val="00D4456A"/>
    <w:rsid w:val="00D64C16"/>
    <w:rsid w:val="00D66799"/>
    <w:rsid w:val="00D74378"/>
    <w:rsid w:val="00D82931"/>
    <w:rsid w:val="00E01A62"/>
    <w:rsid w:val="00E26896"/>
    <w:rsid w:val="00E33706"/>
    <w:rsid w:val="00E71216"/>
    <w:rsid w:val="00EA35F3"/>
    <w:rsid w:val="00EB20DA"/>
    <w:rsid w:val="00EE3087"/>
    <w:rsid w:val="00EF2082"/>
    <w:rsid w:val="00EF669B"/>
    <w:rsid w:val="00FD29B4"/>
    <w:rsid w:val="00FD3EDC"/>
    <w:rsid w:val="680DF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80DFBB8"/>
  <w15:chartTrackingRefBased/>
  <w15:docId w15:val="{A51BDBA3-5B6E-49DF-874D-84737A8E2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3">
    <w:name w:val="Plain Table 3"/>
    <w:basedOn w:val="TableNormal"/>
    <w:uiPriority w:val="43"/>
    <w:rsid w:val="00B35EB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eGridLight">
    <w:name w:val="Grid Table Light"/>
    <w:basedOn w:val="TableNormal"/>
    <w:uiPriority w:val="40"/>
    <w:rsid w:val="00B35EB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Header">
    <w:name w:val="header"/>
    <w:basedOn w:val="Normal"/>
    <w:link w:val="HeaderChar"/>
    <w:uiPriority w:val="99"/>
    <w:unhideWhenUsed/>
    <w:rsid w:val="001F1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1D3F"/>
  </w:style>
  <w:style w:type="paragraph" w:styleId="Footer">
    <w:name w:val="footer"/>
    <w:basedOn w:val="Normal"/>
    <w:link w:val="FooterChar"/>
    <w:uiPriority w:val="99"/>
    <w:unhideWhenUsed/>
    <w:rsid w:val="001F1D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1D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25159154D73145B191AEE9EB642725" ma:contentTypeVersion="12" ma:contentTypeDescription="Create a new document." ma:contentTypeScope="" ma:versionID="ef77fb81f515e4f534396aad539fad86">
  <xsd:schema xmlns:xsd="http://www.w3.org/2001/XMLSchema" xmlns:xs="http://www.w3.org/2001/XMLSchema" xmlns:p="http://schemas.microsoft.com/office/2006/metadata/properties" xmlns:ns2="9b5b8b80-67e3-4962-8cb3-b5424eb7205d" xmlns:ns3="7008804d-6e2a-42c0-afb1-365ca1d34d7a" targetNamespace="http://schemas.microsoft.com/office/2006/metadata/properties" ma:root="true" ma:fieldsID="872e4c171ff38f6c16dcba87a270b551" ns2:_="" ns3:_="">
    <xsd:import namespace="9b5b8b80-67e3-4962-8cb3-b5424eb7205d"/>
    <xsd:import namespace="7008804d-6e2a-42c0-afb1-365ca1d34d7a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5b8b80-67e3-4962-8cb3-b5424eb7205d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9b024f69-61c4-47a6-a233-bcefd3c8adc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08804d-6e2a-42c0-afb1-365ca1d34d7a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475ad915-238e-46c7-826c-f28963b9aa19}" ma:internalName="TaxCatchAll" ma:showField="CatchAllData" ma:web="7008804d-6e2a-42c0-afb1-365ca1d34d7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b5b8b80-67e3-4962-8cb3-b5424eb7205d">
      <Terms xmlns="http://schemas.microsoft.com/office/infopath/2007/PartnerControls"/>
    </lcf76f155ced4ddcb4097134ff3c332f>
    <TaxCatchAll xmlns="7008804d-6e2a-42c0-afb1-365ca1d34d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CE8445-CCD3-43B4-A6BD-B3213DEB17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5b8b80-67e3-4962-8cb3-b5424eb7205d"/>
    <ds:schemaRef ds:uri="7008804d-6e2a-42c0-afb1-365ca1d34d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9D590BC-B122-4801-A9FD-02F524503E22}">
  <ds:schemaRefs>
    <ds:schemaRef ds:uri="http://schemas.microsoft.com/office/2006/metadata/properties"/>
    <ds:schemaRef ds:uri="http://schemas.microsoft.com/office/infopath/2007/PartnerControls"/>
    <ds:schemaRef ds:uri="9b5b8b80-67e3-4962-8cb3-b5424eb7205d"/>
    <ds:schemaRef ds:uri="7008804d-6e2a-42c0-afb1-365ca1d34d7a"/>
  </ds:schemaRefs>
</ds:datastoreItem>
</file>

<file path=customXml/itemProps3.xml><?xml version="1.0" encoding="utf-8"?>
<ds:datastoreItem xmlns:ds="http://schemas.openxmlformats.org/officeDocument/2006/customXml" ds:itemID="{03C467CC-C08C-4AB6-AAA6-48F729A7238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745</Words>
  <Characters>4252</Characters>
  <Application>Microsoft Office Word</Application>
  <DocSecurity>0</DocSecurity>
  <Lines>35</Lines>
  <Paragraphs>9</Paragraphs>
  <ScaleCrop>false</ScaleCrop>
  <Company/>
  <LinksUpToDate>false</LinksUpToDate>
  <CharactersWithSpaces>4988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Megan Uglem</dc:creator>
  <cp:keywords/>
  <dc:description/>
  <cp:lastModifiedBy>Lisa Evanson</cp:lastModifiedBy>
  <cp:revision>2</cp:revision>
  <dcterms:created xsi:type="dcterms:W3CDTF">2026-07-10T16:03:00Z</dcterms:created>
  <dcterms:modified xsi:type="dcterms:W3CDTF">2026-07-10T16:03:00Z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0x0101007E25159154D73145B191AEE9EB642725</vt:lpwstr>
  </property>
  <property fmtid="{D5CDD505-2E9C-101B-9397-08002B2CF9AE}" pid="3" name="MediaServiceImageTags">
    <vt:lpwstr/>
  </property>
</Properties>
</file>